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highlight w:val="none"/>
          <w:lang w:val="en-US" w:eastAsia="zh-CN"/>
        </w:rPr>
        <w:t>巴基斯坦Adil集团相关项目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各有关企业：</w:t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Adil集团是巴基斯坦一家著名大型综合性公司，经与我会驻巴基斯坦代表处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拜访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沟通交流，其旗下有几个项目希望与中方企业分享、交流和合作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现将项目简介及其参考翻译稿附后，请有兴趣的企业与我会联系。</w:t>
      </w:r>
    </w:p>
    <w:p>
      <w:pPr>
        <w:ind w:firstLine="42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联系人：四川省贸促会 赵韵 028-68909134</w:t>
      </w:r>
    </w:p>
    <w:p>
      <w:pPr>
        <w:ind w:firstLine="42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ind w:firstLine="420"/>
        <w:jc w:val="left"/>
        <w:rPr>
          <w:rFonts w:hint="eastAsia" w:ascii="华文仿宋" w:hAnsi="华文仿宋" w:eastAsia="华文仿宋" w:cs="华文仿宋"/>
          <w:sz w:val="32"/>
          <w:szCs w:val="32"/>
          <w:highlight w:val="none"/>
        </w:rPr>
      </w:pPr>
    </w:p>
    <w:p>
      <w:pPr>
        <w:ind w:firstLine="420"/>
        <w:jc w:val="right"/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t>2020年10月19日</w:t>
      </w:r>
    </w:p>
    <w:p>
      <w:pPr>
        <w:rPr>
          <w:rFonts w:hint="eastAsia"/>
          <w:highlight w:val="none"/>
        </w:rPr>
      </w:pPr>
      <w:r>
        <w:rPr>
          <w:rFonts w:hint="eastAsia" w:ascii="华文仿宋" w:hAnsi="华文仿宋" w:eastAsia="华文仿宋" w:cs="华文仿宋"/>
          <w:sz w:val="32"/>
          <w:szCs w:val="32"/>
          <w:highlight w:val="none"/>
          <w:lang w:val="en-US" w:eastAsia="zh-CN"/>
        </w:rPr>
        <w:br w:type="page"/>
      </w:r>
    </w:p>
    <w:p>
      <w:pPr>
        <w:jc w:val="center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（一）皇家棕榈高尔夫乡村俱乐部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巴基斯坦铁路公司打算将该俱乐部外包给第三方，以稳定其运营。这项目旨在基于巴基斯坦铁路公司的运营重要性和战略方向，向巴基斯坦铁路公司提供外部专家意见，用最佳方式运营该俱乐部，以获取最大的财务收益。因此，主要目的是提供一流的模型来管理俱乐部的运营，以提供积极的财务成果，这直接关系到招募新投资者，保留现有投资者以及消费目标人群统计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传统上，乡村俱乐部是一种社交和娱乐设施，它出售会员资格并为其成员提供使用其设施的权限。这些设施通常包括高尔夫球场、网球和游泳设施以及就餐区域。乡村俱乐部通常为其会员提供社交活动。乡村俱乐部可以遵循半私人模式经营高尔夫业务，既可以给会员提供优惠的开球时间，也可以让非会员使用高尔夫球场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皇家棕榈高尔夫乡村俱乐部坐落于1927年成立的前巴基斯坦铁路高尔夫俱乐部的所在地。目前，该俱乐部由巴基斯坦铁路公司管理和控制。为了有效地运营和管理俱乐部，巴基斯坦铁路公司打算订立租赁协议，据此进行特定的协议增值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该俱乐部占地141.17英亩，拥有18洞72杆标准高尔夫球场，目前拥有约3300名会员，其中包括公司会员和私人会员。由于俱乐部的管理混乱，因此俱乐部的继续运营需要进行特定的翻新，更换和增建。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考虑到巴基斯坦铁路公司的目标、财务可行性、法律框架和市场分析，推荐以下合适的合同形式：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1.短期模型：5年-50个房间-1个迎宾篷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2.中期模型：15年-100个房间- 1个迎宾篷-2个宴会厅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3.长期模型：25年-298个房间（酒店项目）-159个家庭公寓-7个宴会厅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此外，巴基斯坦铁路公司正在招标中，所选投标人将有资格根据其出价进行扩展拟建酒店/饭店连锁店的计划。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</w:p>
    <w:p>
      <w:pPr>
        <w:ind w:firstLine="440" w:firstLineChars="200"/>
        <w:jc w:val="center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（二）Mandibahauddin水力发电项目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Mandibahauddin水力发电项目位于Rasul Barrage附近的Lower Jhelum运河支线沿RD 2 + 000，距旁遮普省Mandibahauddin区的Mandibahauddin镇约10公里。该项目的容量为3.3兆瓦，每年将产生19.007亿瓦时的电能。动力室和底部出口将位于现有运河的RD 2 + 000。 RD 8 + 626和RD 0 + 000上可用的压头将被用于组合开发该水电项目。还将安装两个坑式Kaplan涡轮机。在涡轮机单元甩负荷的情况下，将提供三个带有液压操作垂直闸门的底部出口作为旁路结构。距离项目现场约10公里的Mandibahauddin镇的NTDC 132 KV电网用于通过11 KV线路进行互连。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该项目拥有便捷的航线、公路、铁路交通区位优势。项目区Mandibahauddin区约10公里，距Gujrat61公里，距拉合尔（Lahore）175公里，距伊斯兰堡（Islamabad）157公里。最近的火车站是曼迪巴奥丁火车站。最近的机场是拉合尔的阿拉马·伊克巴尔国际机场和伊斯兰堡的贝纳齐尔·布托国际机场。从拉合尔、伊斯兰堡和卡拉奇可通过M2和GT公路前往该地点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 xml:space="preserve"> Mandibahauddin电力公司于2016年4月18日从旁遮普邦私人电力开发委员会（PPDB）获得了意向书（LOI）。PPDB的授权符合旁遮普省政府在2009年修订的《2006年旁遮普邦发电政策》，该政策旨在鼓励私营部门进行基础设施投资。</w:t>
      </w:r>
    </w:p>
    <w:p>
      <w:pPr>
        <w:ind w:firstLine="440" w:firstLineChars="200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拟议的项目必须沿下耶鲁姆运河支线RD 8 + 626开发，该处有一处约3.66 m的塌方。</w:t>
      </w:r>
    </w:p>
    <w:p>
      <w:pPr>
        <w:jc w:val="left"/>
        <w:rPr>
          <w:rFonts w:hint="eastAsia"/>
          <w:sz w:val="22"/>
          <w:szCs w:val="24"/>
          <w:highlight w:val="none"/>
        </w:rPr>
      </w:pPr>
    </w:p>
    <w:p>
      <w:pPr>
        <w:jc w:val="center"/>
        <w:rPr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（三）气调冷藏库</w:t>
      </w:r>
    </w:p>
    <w:p>
      <w:pPr>
        <w:ind w:firstLine="440" w:firstLineChars="200"/>
        <w:jc w:val="left"/>
        <w:rPr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我们打算用经过特别调整的空气信息建立气调冷藏库。通过降低氧气的比率，将二氧化碳比率保持在一定的水平，可以延缓水果和蔬菜的腐败。这种防止疾病和细菌繁殖和传播的系统，可以在不使用任何化学物质的情况下延长一倍的储存期。随着人们越来越重视蔬菜和水果的质量和持续供应，全世界越来越多地广泛应用气调冷藏库。</w:t>
      </w:r>
    </w:p>
    <w:p>
      <w:pPr>
        <w:ind w:firstLine="440" w:firstLineChars="200"/>
        <w:jc w:val="left"/>
        <w:rPr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气调冷库门，为这一领域提供了完整的解决方案，它是未来新鲜果蔬贮藏中不可或缺的解决方案，配有绝缘、超声波加湿装置和合适的湿度传感器。</w:t>
      </w:r>
    </w:p>
    <w:p>
      <w:pPr>
        <w:ind w:firstLine="440" w:firstLineChars="200"/>
        <w:jc w:val="left"/>
        <w:rPr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气调冷藏库将增加苹果、石榴、葡萄、梨和猕猴桃等产品2-3倍的储存时间，为生产商提供了在找到最佳价格时销售产品的机会，并提供了充分利用其劳动力的机会。</w:t>
      </w:r>
    </w:p>
    <w:p>
      <w:pPr>
        <w:ind w:firstLine="440" w:firstLineChars="200"/>
        <w:jc w:val="left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当我们研究发达国家的苹果生产情况时，发现他们的产品在国际市场上的售价很高。原因就在于采用了气调冷藏库，这样可以保证生产出来的苹果像第一天一样被保存下来，而不是因为苹果本身生长得更好。许多高吨位存储的生产商，由于生产后的损失和产品质量的恶化，无法以低价进入消费者的餐桌，或者根本无法进入消费者的餐桌。</w:t>
      </w:r>
    </w:p>
    <w:p>
      <w:pPr>
        <w:ind w:firstLine="440" w:firstLineChars="200"/>
        <w:jc w:val="left"/>
        <w:rPr>
          <w:rFonts w:hint="eastAsia"/>
          <w:sz w:val="22"/>
          <w:szCs w:val="24"/>
          <w:highlight w:val="none"/>
        </w:rPr>
      </w:pPr>
    </w:p>
    <w:p>
      <w:pPr>
        <w:jc w:val="center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（四）拟议定开发的特别经济区</w:t>
      </w:r>
    </w:p>
    <w:tbl>
      <w:tblPr>
        <w:tblStyle w:val="5"/>
        <w:tblW w:w="94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14"/>
        <w:gridCol w:w="2255"/>
        <w:gridCol w:w="1276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left"/>
              <w:rPr>
                <w:rFonts w:hint="eastAsia"/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序号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名称</w:t>
            </w:r>
          </w:p>
        </w:tc>
        <w:tc>
          <w:tcPr>
            <w:tcW w:w="2255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所在省份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占地面积</w:t>
            </w:r>
            <w:r>
              <w:rPr>
                <w:rFonts w:hint="eastAsia"/>
                <w:sz w:val="20"/>
                <w:szCs w:val="24"/>
                <w:highlight w:val="none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0"/>
                <w:szCs w:val="24"/>
                <w:highlight w:val="none"/>
                <w:lang w:val="en-US" w:eastAsia="zh-CN"/>
              </w:rPr>
              <w:t>英亩</w:t>
            </w:r>
            <w:r>
              <w:rPr>
                <w:rFonts w:hint="eastAsia"/>
                <w:sz w:val="20"/>
                <w:szCs w:val="24"/>
                <w:highlight w:val="none"/>
              </w:rPr>
              <w:t>）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产业类别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Rashakai Economic Zone , M-1, Nowshera</w:t>
            </w:r>
          </w:p>
        </w:tc>
        <w:tc>
          <w:tcPr>
            <w:tcW w:w="2255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Khyber Pakhtunkhwa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1000</w:t>
            </w:r>
          </w:p>
        </w:tc>
        <w:tc>
          <w:tcPr>
            <w:tcW w:w="3402" w:type="dxa"/>
          </w:tcPr>
          <w:p>
            <w:pPr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水果、食品、包装、纺织品、针织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China Special Economic Zone Dhabeji</w:t>
            </w:r>
          </w:p>
        </w:tc>
        <w:tc>
          <w:tcPr>
            <w:tcW w:w="2255" w:type="dxa"/>
          </w:tcPr>
          <w:p>
            <w:pPr>
              <w:jc w:val="left"/>
              <w:rPr>
                <w:rFonts w:hint="eastAsia"/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Sindh</w:t>
            </w:r>
          </w:p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信德省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1000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待可行性研究阶段再确定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3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Bostan Industrial Zone</w:t>
            </w:r>
          </w:p>
        </w:tc>
        <w:tc>
          <w:tcPr>
            <w:tcW w:w="2255" w:type="dxa"/>
          </w:tcPr>
          <w:p>
            <w:pPr>
              <w:jc w:val="left"/>
              <w:rPr>
                <w:rFonts w:hint="eastAsia"/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Balochistan</w:t>
            </w:r>
          </w:p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俾路支省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1000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水果加工、农业机械、制药、摩托车装配、铬铁矿、食用油、陶瓷工业、冷藏、电器、清真食品工业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4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Allama Iqbal Industrial City (M3), Faisalabad</w:t>
            </w:r>
          </w:p>
        </w:tc>
        <w:tc>
          <w:tcPr>
            <w:tcW w:w="2255" w:type="dxa"/>
          </w:tcPr>
          <w:p>
            <w:pPr>
              <w:jc w:val="left"/>
              <w:rPr>
                <w:rFonts w:hint="eastAsia"/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Faisalabad</w:t>
            </w:r>
          </w:p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费萨拉巴德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约3000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纺织、钢材、中西药品、工程类、化学制品、食品加工、塑料、农具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9"/>
              <w:jc w:val="center"/>
              <w:rPr>
                <w:rFonts w:hint="eastAsia"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hint="eastAsia"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>5</w:t>
            </w:r>
          </w:p>
        </w:tc>
        <w:tc>
          <w:tcPr>
            <w:tcW w:w="1714" w:type="dxa"/>
          </w:tcPr>
          <w:p>
            <w:pPr>
              <w:pStyle w:val="9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 xml:space="preserve">ICT Model Industrial Zone, Islamabad </w:t>
            </w:r>
          </w:p>
        </w:tc>
        <w:tc>
          <w:tcPr>
            <w:tcW w:w="2255" w:type="dxa"/>
          </w:tcPr>
          <w:p>
            <w:pPr>
              <w:pStyle w:val="9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Islamabad</w:t>
            </w:r>
          </w:p>
          <w:p>
            <w:pPr>
              <w:pStyle w:val="9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伊斯兰堡首都区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200-500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钢材、食品加工、医药化工、印刷包装轻工业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9"/>
              <w:jc w:val="center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hint="eastAsia"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>6</w:t>
            </w:r>
          </w:p>
        </w:tc>
        <w:tc>
          <w:tcPr>
            <w:tcW w:w="1714" w:type="dxa"/>
          </w:tcPr>
          <w:p>
            <w:pPr>
              <w:pStyle w:val="9"/>
              <w:rPr>
                <w:sz w:val="24"/>
                <w:szCs w:val="24"/>
                <w:highlight w:val="none"/>
              </w:rPr>
            </w:pPr>
            <w:r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 xml:space="preserve">Development of Industrial Park on Pakistan Steel Mills Land at Port Qasim near Karachi </w:t>
            </w:r>
          </w:p>
        </w:tc>
        <w:tc>
          <w:tcPr>
            <w:tcW w:w="2255" w:type="dxa"/>
          </w:tcPr>
          <w:p>
            <w:pPr>
              <w:pStyle w:val="9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Qasim</w:t>
            </w:r>
            <w:r>
              <w:rPr>
                <w:rFonts w:hint="eastAsia"/>
                <w:sz w:val="24"/>
                <w:szCs w:val="24"/>
                <w:highlight w:val="none"/>
              </w:rPr>
              <w:t>港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9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靠近卡拉奇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1500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钢材、汽车及联合公司、只要、化学品、印刷包装服装等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9"/>
              <w:jc w:val="center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hint="eastAsia"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>7</w:t>
            </w:r>
          </w:p>
        </w:tc>
        <w:tc>
          <w:tcPr>
            <w:tcW w:w="1714" w:type="dxa"/>
          </w:tcPr>
          <w:p>
            <w:pPr>
              <w:pStyle w:val="9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 xml:space="preserve">Special Economic Zone at Mirpur,AJK </w:t>
            </w:r>
          </w:p>
        </w:tc>
        <w:tc>
          <w:tcPr>
            <w:tcW w:w="2255" w:type="dxa"/>
          </w:tcPr>
          <w:p>
            <w:pPr>
              <w:pStyle w:val="9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Mirpur 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1078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混合工业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9"/>
              <w:jc w:val="center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hint="eastAsia"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>8</w:t>
            </w:r>
          </w:p>
        </w:tc>
        <w:tc>
          <w:tcPr>
            <w:tcW w:w="1714" w:type="dxa"/>
          </w:tcPr>
          <w:p>
            <w:pPr>
              <w:pStyle w:val="9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 xml:space="preserve">Mohmand Marble City </w:t>
            </w:r>
          </w:p>
        </w:tc>
        <w:tc>
          <w:tcPr>
            <w:tcW w:w="2255" w:type="dxa"/>
          </w:tcPr>
          <w:p>
            <w:pPr>
              <w:pStyle w:val="9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FATA 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9</w:t>
            </w:r>
          </w:p>
        </w:tc>
        <w:tc>
          <w:tcPr>
            <w:tcW w:w="1714" w:type="dxa"/>
          </w:tcPr>
          <w:p>
            <w:pPr>
              <w:pStyle w:val="9"/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</w:pPr>
            <w:r>
              <w:rPr>
                <w:rFonts w:asciiTheme="minorHAnsi" w:hAnsiTheme="minorHAnsi" w:cstheme="minorBidi"/>
                <w:color w:val="auto"/>
                <w:kern w:val="2"/>
                <w:sz w:val="22"/>
                <w:szCs w:val="24"/>
                <w:highlight w:val="none"/>
              </w:rPr>
              <w:t xml:space="preserve">Moqpondass SEZ Gilgit-Baltistan </w:t>
            </w:r>
          </w:p>
        </w:tc>
        <w:tc>
          <w:tcPr>
            <w:tcW w:w="2255" w:type="dxa"/>
          </w:tcPr>
          <w:p>
            <w:pPr>
              <w:pStyle w:val="9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Gilgit-Baltistan</w:t>
            </w:r>
          </w:p>
          <w:p>
            <w:pPr>
              <w:pStyle w:val="9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吉尔吉特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76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250</w:t>
            </w:r>
          </w:p>
        </w:tc>
        <w:tc>
          <w:tcPr>
            <w:tcW w:w="3402" w:type="dxa"/>
          </w:tcPr>
          <w:p>
            <w:pPr>
              <w:jc w:val="left"/>
              <w:rPr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大理石/花岗岩、铁矿石加工、水果加工、港腾工业、矿产加工、皮革工业</w:t>
            </w:r>
          </w:p>
        </w:tc>
      </w:tr>
    </w:tbl>
    <w:p>
      <w:pPr>
        <w:jc w:val="left"/>
        <w:rPr>
          <w:rFonts w:hint="eastAsia"/>
          <w:sz w:val="22"/>
          <w:szCs w:val="24"/>
          <w:highlight w:val="none"/>
        </w:rPr>
      </w:pPr>
    </w:p>
    <w:p>
      <w:pPr>
        <w:jc w:val="left"/>
        <w:rPr>
          <w:rFonts w:hint="eastAsia"/>
          <w:sz w:val="22"/>
          <w:szCs w:val="24"/>
          <w:highlight w:val="none"/>
        </w:rPr>
      </w:pPr>
      <w:r>
        <w:rPr>
          <w:rFonts w:hint="eastAsia"/>
          <w:sz w:val="22"/>
          <w:szCs w:val="24"/>
          <w:highlight w:val="none"/>
        </w:rPr>
        <w:t>备注：上述经济特区可行性研究将与中方共享</w:t>
      </w:r>
    </w:p>
    <w:p>
      <w:pPr>
        <w:ind w:firstLine="440" w:firstLineChars="200"/>
        <w:jc w:val="left"/>
        <w:rPr>
          <w:sz w:val="22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93C"/>
    <w:rsid w:val="00014C08"/>
    <w:rsid w:val="001326A9"/>
    <w:rsid w:val="001E14C6"/>
    <w:rsid w:val="003C77C1"/>
    <w:rsid w:val="0049570E"/>
    <w:rsid w:val="004D041C"/>
    <w:rsid w:val="0050193C"/>
    <w:rsid w:val="00B10B5E"/>
    <w:rsid w:val="00B75F94"/>
    <w:rsid w:val="00EF6B62"/>
    <w:rsid w:val="46223305"/>
    <w:rsid w:val="778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420</Words>
  <Characters>2398</Characters>
  <Lines>19</Lines>
  <Paragraphs>5</Paragraphs>
  <TotalTime>107</TotalTime>
  <ScaleCrop>false</ScaleCrop>
  <LinksUpToDate>false</LinksUpToDate>
  <CharactersWithSpaces>2813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2020-10-10T01:39:00Z</dcterms:created>
  <dc:creator>lenovo</dc:creator>
  <cp:lastModifiedBy>ZY</cp:lastModifiedBy>
  <dcterms:modified xsi:type="dcterms:W3CDTF">2020-10-19T08:10:46Z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