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-1152525</wp:posOffset>
            </wp:positionH>
            <wp:positionV relativeFrom="paragraph">
              <wp:posOffset>-927735</wp:posOffset>
            </wp:positionV>
            <wp:extent cx="7560310" cy="10652760"/>
            <wp:effectExtent l="0" t="0" r="2540" b="15240"/>
            <wp:wrapNone/>
            <wp:docPr id="2" name="图片 2" descr="通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通知1"/>
                    <pic:cNvPicPr>
                      <a:picLocks noChangeAspect="1"/>
                    </pic:cNvPicPr>
                  </pic:nvPicPr>
                  <pic:blipFill>
                    <a:blip r:embed="rId4"/>
                    <a:stretch>
                      <a:fillRect/>
                    </a:stretch>
                  </pic:blipFill>
                  <pic:spPr>
                    <a:xfrm>
                      <a:off x="0" y="0"/>
                      <a:ext cx="7560310" cy="10652760"/>
                    </a:xfrm>
                    <a:prstGeom prst="rect">
                      <a:avLst/>
                    </a:prstGeom>
                  </pic:spPr>
                </pic:pic>
              </a:graphicData>
            </a:graphic>
          </wp:anchor>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spacing w:line="54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平台卖家（天猫、京东、苏宁易购等）、零售商、渠道商、分销商和网红直播/平台等优质采购商、专业买家前来参观和采购，帮助参展企业稳外贸、促内销，实现业务拓展双循环的新格局。展会将同期举办多场配套论坛、配对活动，打造高效、专业的展览盛会。</w:t>
      </w:r>
    </w:p>
    <w:p>
      <w:pPr>
        <w:pStyle w:val="2"/>
        <w:spacing w:line="540" w:lineRule="exact"/>
        <w:rPr>
          <w:rFonts w:ascii="黑体" w:hAnsi="黑体" w:eastAsia="黑体" w:cs="黑体"/>
          <w:szCs w:val="32"/>
          <w:shd w:val="clear" w:color="auto" w:fill="FFFFFF"/>
        </w:rPr>
      </w:pPr>
      <w:r>
        <w:rPr>
          <w:rFonts w:hint="eastAsia" w:ascii="黑体" w:hAnsi="黑体" w:eastAsia="黑体" w:cs="黑体"/>
          <w:szCs w:val="32"/>
          <w:shd w:val="clear" w:color="auto" w:fill="FFFFFF"/>
        </w:rPr>
        <w:t>二、时间和地点</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 xml:space="preserve">    </w:t>
      </w:r>
      <w:r>
        <w:rPr>
          <w:rFonts w:ascii="楷体_GB2312" w:hAnsi="楷体_GB2312" w:eastAsia="楷体_GB2312" w:cs="楷体_GB2312"/>
          <w:b/>
          <w:bCs/>
          <w:szCs w:val="32"/>
          <w:shd w:val="clear" w:color="auto" w:fill="FFFFFF"/>
        </w:rPr>
        <w:t>（一）时间：</w:t>
      </w:r>
      <w:r>
        <w:rPr>
          <w:rFonts w:ascii="仿宋_GB2312" w:hAnsi="仿宋_GB2312" w:cs="仿宋_GB2312"/>
          <w:szCs w:val="32"/>
          <w:shd w:val="clear" w:color="auto" w:fill="FFFFFF"/>
        </w:rPr>
        <w:t>2021年4</w:t>
      </w:r>
      <w:r>
        <w:rPr>
          <w:rFonts w:hint="eastAsia" w:ascii="仿宋_GB2312" w:hAnsi="仿宋_GB2312" w:cs="仿宋_GB2312"/>
          <w:szCs w:val="32"/>
          <w:shd w:val="clear" w:color="auto" w:fill="FFFFFF"/>
        </w:rPr>
        <w:t>月</w:t>
      </w:r>
      <w:r>
        <w:rPr>
          <w:rFonts w:ascii="仿宋_GB2312" w:hAnsi="仿宋_GB2312" w:cs="仿宋_GB2312"/>
          <w:szCs w:val="32"/>
          <w:shd w:val="clear" w:color="auto" w:fill="FFFFFF"/>
        </w:rPr>
        <w:t>12</w:t>
      </w:r>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15</w:t>
      </w:r>
      <w:r>
        <w:rPr>
          <w:rFonts w:hint="eastAsia" w:ascii="仿宋_GB2312" w:hAnsi="仿宋_GB2312" w:cs="仿宋_GB2312"/>
          <w:szCs w:val="32"/>
          <w:shd w:val="clear" w:color="auto" w:fill="FFFFFF"/>
        </w:rPr>
        <w:t>日。</w:t>
      </w:r>
      <w:r>
        <w:rPr>
          <w:rFonts w:ascii="仿宋_GB2312" w:hAnsi="仿宋_GB2312" w:cs="仿宋_GB2312"/>
          <w:b/>
          <w:bCs/>
          <w:szCs w:val="32"/>
          <w:shd w:val="clear" w:color="auto" w:fill="FFFFFF"/>
        </w:rPr>
        <w:br w:type="textWrapping"/>
      </w:r>
      <w:r>
        <w:rPr>
          <w:rFonts w:ascii="楷体_GB2312" w:hAnsi="楷体_GB2312" w:eastAsia="楷体_GB2312" w:cs="楷体_GB2312"/>
          <w:b/>
          <w:bCs/>
          <w:szCs w:val="32"/>
          <w:shd w:val="clear" w:color="auto" w:fill="FFFFFF"/>
        </w:rPr>
        <w:t xml:space="preserve">    </w:t>
      </w:r>
      <w:r>
        <w:rPr>
          <w:rFonts w:hint="eastAsia" w:ascii="楷体_GB2312" w:hAnsi="楷体_GB2312" w:eastAsia="楷体_GB2312" w:cs="楷体_GB2312"/>
          <w:b/>
          <w:bCs/>
          <w:szCs w:val="32"/>
          <w:shd w:val="clear" w:color="auto" w:fill="FFFFFF"/>
        </w:rPr>
        <w:t>（二）地点：</w:t>
      </w:r>
      <w:r>
        <w:rPr>
          <w:rFonts w:hint="eastAsia" w:ascii="仿宋_GB2312" w:hAnsi="仿宋_GB2312" w:cs="仿宋_GB2312"/>
          <w:szCs w:val="32"/>
          <w:shd w:val="clear" w:color="auto" w:fill="FFFFFF"/>
        </w:rPr>
        <w:t>广州市保利世贸博览馆。</w:t>
      </w:r>
      <w:r>
        <w:rPr>
          <w:rFonts w:ascii="仿宋_GB2312" w:hAnsi="仿宋_GB2312" w:cs="仿宋_GB2312"/>
          <w:szCs w:val="32"/>
          <w:shd w:val="clear" w:color="auto" w:fill="FFFFFF"/>
        </w:rPr>
        <w:br w:type="textWrapping"/>
      </w:r>
      <w:r>
        <w:rPr>
          <w:rFonts w:ascii="仿宋_GB2312" w:hAnsi="仿宋_GB2312" w:cs="仿宋_GB2312"/>
          <w:szCs w:val="32"/>
          <w:shd w:val="clear" w:color="auto" w:fill="FFFFFF"/>
        </w:rPr>
        <w:t xml:space="preserve">    </w:t>
      </w:r>
      <w:r>
        <w:rPr>
          <w:rFonts w:hint="eastAsia" w:ascii="黑体" w:hAnsi="黑体" w:eastAsia="黑体" w:cs="黑体"/>
          <w:szCs w:val="32"/>
          <w:shd w:val="clear" w:color="auto" w:fill="FFFFFF"/>
        </w:rPr>
        <w:t>三、展品类别</w:t>
      </w:r>
    </w:p>
    <w:p>
      <w:pPr>
        <w:snapToGrid w:val="0"/>
        <w:spacing w:line="540" w:lineRule="exact"/>
        <w:ind w:left="9" w:firstLine="601" w:firstLineChars="187"/>
        <w:contextualSpacing/>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（一）消费类电子展区：</w:t>
      </w:r>
      <w:r>
        <w:rPr>
          <w:rFonts w:hint="eastAsia" w:ascii="仿宋_GB2312" w:hAnsi="仿宋_GB2312" w:eastAsia="仿宋_GB2312" w:cs="仿宋_GB2312"/>
          <w:kern w:val="0"/>
          <w:sz w:val="32"/>
          <w:szCs w:val="32"/>
          <w:shd w:val="clear" w:color="auto" w:fill="FFFFFF"/>
        </w:rPr>
        <w:t>机器人、相机、蓝牙音响、记录器、投影仪、无人机、平衡车、</w:t>
      </w:r>
      <w:r>
        <w:rPr>
          <w:rFonts w:ascii="仿宋_GB2312" w:hAnsi="仿宋_GB2312" w:eastAsia="仿宋_GB2312" w:cs="仿宋_GB2312"/>
          <w:kern w:val="0"/>
          <w:sz w:val="32"/>
          <w:szCs w:val="32"/>
          <w:shd w:val="clear" w:color="auto" w:fill="FFFFFF"/>
        </w:rPr>
        <w:t>HDMI线缆、迷你扫描仪、收音机、电子玩具、商用电子</w:t>
      </w:r>
      <w:r>
        <w:rPr>
          <w:rFonts w:hint="eastAsia" w:ascii="仿宋_GB2312" w:hAnsi="仿宋_GB2312" w:eastAsia="仿宋_GB2312" w:cs="仿宋_GB2312"/>
          <w:kern w:val="0"/>
          <w:sz w:val="32"/>
          <w:szCs w:val="32"/>
          <w:shd w:val="clear" w:color="auto" w:fill="FFFFFF"/>
        </w:rPr>
        <w:t>。</w:t>
      </w:r>
    </w:p>
    <w:p>
      <w:pPr>
        <w:snapToGrid w:val="0"/>
        <w:spacing w:line="540" w:lineRule="exact"/>
        <w:ind w:firstLine="643" w:firstLineChars="200"/>
        <w:contextualSpacing/>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（二）移动电子及配件展区：</w:t>
      </w:r>
      <w:r>
        <w:rPr>
          <w:rFonts w:hint="eastAsia" w:ascii="仿宋_GB2312" w:hAnsi="仿宋_GB2312" w:eastAsia="仿宋_GB2312" w:cs="仿宋_GB2312"/>
          <w:kern w:val="0"/>
          <w:sz w:val="32"/>
          <w:szCs w:val="32"/>
          <w:shd w:val="clear" w:color="auto" w:fill="FFFFFF"/>
        </w:rPr>
        <w:t>移动音频：</w:t>
      </w:r>
      <w:r>
        <w:rPr>
          <w:rFonts w:ascii="仿宋_GB2312" w:hAnsi="仿宋_GB2312" w:eastAsia="仿宋_GB2312" w:cs="仿宋_GB2312"/>
          <w:kern w:val="0"/>
          <w:sz w:val="32"/>
          <w:szCs w:val="32"/>
          <w:shd w:val="clear" w:color="auto" w:fill="FFFFFF"/>
        </w:rPr>
        <w:t>TWS耳机、无线蓝牙耳机、运动蓝牙耳机、入耳及挂耳式蓝牙耳机、降噪耳机、骨传导耳机、激光耳机、蓝牙音箱、线材及配件等</w:t>
      </w:r>
      <w:r>
        <w:rPr>
          <w:rFonts w:hint="eastAsia" w:ascii="仿宋_GB2312" w:hAnsi="仿宋_GB2312" w:eastAsia="仿宋_GB2312" w:cs="仿宋_GB2312"/>
          <w:kern w:val="0"/>
          <w:sz w:val="32"/>
          <w:szCs w:val="32"/>
          <w:shd w:val="clear" w:color="auto" w:fill="FFFFFF"/>
        </w:rPr>
        <w:t>。移动充电：移动电源、无线充电器、数据线、</w:t>
      </w:r>
      <w:r>
        <w:rPr>
          <w:rFonts w:ascii="仿宋_GB2312" w:hAnsi="仿宋_GB2312" w:eastAsia="仿宋_GB2312" w:cs="仿宋_GB2312"/>
          <w:kern w:val="0"/>
          <w:sz w:val="32"/>
          <w:szCs w:val="32"/>
          <w:shd w:val="clear" w:color="auto" w:fill="FFFFFF"/>
        </w:rPr>
        <w:t>USB-C充电线、快充充电线、快充充电头、多孔充电头、便携式储能电源</w:t>
      </w:r>
      <w:r>
        <w:rPr>
          <w:rFonts w:hint="eastAsia" w:ascii="仿宋_GB2312" w:hAnsi="仿宋_GB2312" w:eastAsia="仿宋_GB2312" w:cs="仿宋_GB2312"/>
          <w:kern w:val="0"/>
          <w:sz w:val="32"/>
          <w:szCs w:val="32"/>
          <w:shd w:val="clear" w:color="auto" w:fill="FFFFFF"/>
        </w:rPr>
        <w:t>。移动设备及配件：手机、自拍杆、保护膜、保护壳。</w:t>
      </w:r>
    </w:p>
    <w:p>
      <w:pPr>
        <w:snapToGrid w:val="0"/>
        <w:spacing w:line="540" w:lineRule="exact"/>
        <w:ind w:firstLine="643" w:firstLineChars="200"/>
        <w:contextualSpacing/>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（三）智能穿戴展区：</w:t>
      </w:r>
      <w:r>
        <w:rPr>
          <w:rFonts w:hint="eastAsia" w:ascii="仿宋_GB2312" w:hAnsi="仿宋_GB2312" w:eastAsia="仿宋_GB2312" w:cs="仿宋_GB2312"/>
          <w:kern w:val="0"/>
          <w:sz w:val="32"/>
          <w:szCs w:val="32"/>
          <w:shd w:val="clear" w:color="auto" w:fill="FFFFFF"/>
        </w:rPr>
        <w:t>智能手表、智能手环。</w:t>
      </w:r>
    </w:p>
    <w:p>
      <w:pPr>
        <w:rPr>
          <w:rFonts w:hint="eastAsia" w:eastAsiaTheme="minorEastAsia"/>
          <w:lang w:eastAsia="zh-CN"/>
        </w:rPr>
      </w:pPr>
      <w:r>
        <w:rPr>
          <w:rFonts w:hint="eastAsia" w:ascii="楷体_GB2312" w:hAnsi="楷体_GB2312" w:eastAsia="楷体_GB2312" w:cs="楷体_GB2312"/>
          <w:b/>
          <w:bCs/>
          <w:kern w:val="0"/>
          <w:sz w:val="32"/>
          <w:szCs w:val="32"/>
          <w:shd w:val="clear" w:color="auto" w:fill="FFFFFF"/>
        </w:rPr>
        <w:t>（四）电脑及电竞游戏周边展区：</w:t>
      </w:r>
      <w:r>
        <w:rPr>
          <w:rFonts w:hint="eastAsia" w:ascii="仿宋_GB2312" w:hAnsi="仿宋_GB2312" w:eastAsia="仿宋_GB2312" w:cs="仿宋_GB2312"/>
          <w:kern w:val="0"/>
          <w:sz w:val="32"/>
          <w:szCs w:val="32"/>
          <w:shd w:val="clear" w:color="auto" w:fill="FFFFFF"/>
        </w:rPr>
        <w:t>电脑及周边：笔记本、个人电脑（</w:t>
      </w:r>
      <w:r>
        <w:rPr>
          <w:rFonts w:ascii="仿宋_GB2312" w:hAnsi="仿宋_GB2312" w:eastAsia="仿宋_GB2312" w:cs="仿宋_GB2312"/>
          <w:kern w:val="0"/>
          <w:sz w:val="32"/>
          <w:szCs w:val="32"/>
          <w:shd w:val="clear" w:color="auto" w:fill="FFFFFF"/>
        </w:rPr>
        <w:t>PC）、平板电脑、监视器、鼠标、键盘、USB数据线、路由器、电源适配器、散热器、U盘、笔记本电脑包、底盘</w:t>
      </w:r>
      <w:r>
        <w:rPr>
          <w:rFonts w:hint="eastAsia" w:ascii="仿宋_GB2312" w:hAnsi="仿宋_GB2312" w:eastAsia="仿宋_GB2312" w:cs="仿宋_GB2312"/>
          <w:kern w:val="0"/>
          <w:sz w:val="32"/>
          <w:szCs w:val="32"/>
          <w:shd w:val="clear" w:color="auto" w:fill="FFFFFF"/>
        </w:rPr>
        <w:t>。电竞游戏周边：电竞键盘、电竞鼠标、电竞椅、电竞手柄、电竞耳</w:t>
      </w:r>
    </w:p>
    <w:p>
      <w:pPr>
        <w:rPr>
          <w:rFonts w:hint="eastAsia" w:eastAsiaTheme="minorEastAsia"/>
          <w:lang w:eastAsia="zh-CN"/>
        </w:rPr>
      </w:pPr>
    </w:p>
    <w:p>
      <w:pPr>
        <w:snapToGrid w:val="0"/>
        <w:spacing w:line="540"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机。</w:t>
      </w:r>
    </w:p>
    <w:p>
      <w:pPr>
        <w:numPr>
          <w:ilvl w:val="255"/>
          <w:numId w:val="0"/>
        </w:numPr>
        <w:snapToGrid w:val="0"/>
        <w:spacing w:line="540" w:lineRule="exact"/>
        <w:ind w:firstLine="643" w:firstLineChars="200"/>
        <w:contextualSpacing/>
        <w:rPr>
          <w:rFonts w:hint="eastAsia" w:ascii="仿宋_GB2312" w:hAnsi="仿宋_GB2312" w:eastAsia="仿宋_GB2312" w:cs="仿宋_GB2312"/>
          <w:kern w:val="0"/>
          <w:sz w:val="32"/>
          <w:szCs w:val="32"/>
          <w:shd w:val="clear" w:color="auto" w:fill="FFFFFF"/>
          <w:lang w:val="en-US" w:eastAsia="zh-CN"/>
        </w:rPr>
      </w:pPr>
      <w:r>
        <w:rPr>
          <w:rFonts w:hint="eastAsia" w:ascii="楷体_GB2312" w:hAnsi="楷体_GB2312" w:eastAsia="楷体_GB2312" w:cs="楷体_GB2312"/>
          <w:b/>
          <w:bCs/>
          <w:kern w:val="0"/>
          <w:sz w:val="32"/>
          <w:szCs w:val="32"/>
          <w:shd w:val="clear" w:color="auto" w:fill="FFFFFF"/>
        </w:rPr>
        <w:t>（五）车载电子展区：</w:t>
      </w:r>
      <w:r>
        <w:rPr>
          <w:rFonts w:hint="eastAsia" w:ascii="仿宋_GB2312" w:hAnsi="仿宋_GB2312" w:eastAsia="仿宋_GB2312" w:cs="仿宋_GB2312"/>
          <w:kern w:val="0"/>
          <w:sz w:val="32"/>
          <w:szCs w:val="32"/>
          <w:shd w:val="clear" w:color="auto" w:fill="FFFFFF"/>
        </w:rPr>
        <w:t>车辆导航、车载音响、车载</w:t>
      </w:r>
      <w:r>
        <w:rPr>
          <w:rFonts w:ascii="仿宋_GB2312" w:hAnsi="仿宋_GB2312" w:eastAsia="仿宋_GB2312" w:cs="仿宋_GB2312"/>
          <w:kern w:val="0"/>
          <w:sz w:val="32"/>
          <w:szCs w:val="32"/>
          <w:shd w:val="clear" w:color="auto" w:fill="FFFFFF"/>
        </w:rPr>
        <w:t>DVD、车载充电器、汽车扬声器、行车记录仪、汽车轮胎压力表、车载冰箱、应急启动电源家用及商用电器展区</w:t>
      </w:r>
      <w:r>
        <w:rPr>
          <w:rFonts w:hint="eastAsia" w:ascii="仿宋_GB2312" w:hAnsi="仿宋_GB2312" w:eastAsia="仿宋_GB2312" w:cs="仿宋_GB2312"/>
          <w:kern w:val="0"/>
          <w:sz w:val="32"/>
          <w:szCs w:val="32"/>
          <w:shd w:val="clear" w:color="auto" w:fill="FFFFFF"/>
          <w:lang w:eastAsia="zh-CN"/>
        </w:rPr>
        <w:t>。</w:t>
      </w:r>
    </w:p>
    <w:p>
      <w:pPr>
        <w:snapToGrid w:val="0"/>
        <w:spacing w:line="540" w:lineRule="exact"/>
        <w:ind w:firstLine="643" w:firstLineChars="200"/>
        <w:contextualSpacing/>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（六）家用电器及商用电器展区：</w:t>
      </w:r>
      <w:r>
        <w:rPr>
          <w:rFonts w:hint="eastAsia" w:ascii="仿宋_GB2312" w:hAnsi="仿宋_GB2312" w:eastAsia="仿宋_GB2312" w:cs="仿宋_GB2312"/>
          <w:kern w:val="0"/>
          <w:sz w:val="32"/>
          <w:szCs w:val="32"/>
          <w:shd w:val="clear" w:color="auto" w:fill="FFFFFF"/>
        </w:rPr>
        <w:t>咖啡机、电水壶、榨汁机、电风扇、电饭煲、面包机、面条机、排风机、干手机、电热水器、微波炉、电磁炉、打蛋机、煮蛋器、电烤箱、电煎锅、饮水机、净水器、吸尘器、扫地机、电蚊拍、空气净化器、加湿器、电吹风、卷发器、电动牙刷、美容仪、按摩椅、按摩器、电视、投影仪、立体音响、音频线、智能照明、智能红外遥控、智能加湿器、智能电工、智能消毒器、智能报警器、网络摄像头、烹饪设备、烘焙设备、冷冻柜、嵌入式冰箱、嵌入式微波炉、嵌入式烤箱、嵌入式蒸汽烤箱、嵌入式油烟机、嵌入式冷冻机、嵌入式洗碗机、嵌入式炊具、嵌入式自动咖啡机、嵌入式食物处理器、嵌入式消毒柜、嵌入式洗净器、其他嵌入式设备。</w:t>
      </w:r>
    </w:p>
    <w:p>
      <w:pPr>
        <w:pStyle w:val="2"/>
        <w:numPr>
          <w:ilvl w:val="0"/>
          <w:numId w:val="1"/>
        </w:numPr>
        <w:spacing w:line="540" w:lineRule="exact"/>
        <w:ind w:firstLine="640" w:firstLineChars="200"/>
        <w:rPr>
          <w:rFonts w:ascii="黑体" w:hAnsi="黑体" w:eastAsia="黑体" w:cs="黑体"/>
          <w:szCs w:val="32"/>
          <w:shd w:val="clear" w:color="auto" w:fill="FFFFFF"/>
        </w:rPr>
      </w:pPr>
      <w:r>
        <w:rPr>
          <w:rFonts w:hint="eastAsia" w:ascii="黑体" w:hAnsi="黑体" w:eastAsia="黑体" w:cs="黑体"/>
          <w:szCs w:val="32"/>
          <w:shd w:val="clear" w:color="auto" w:fill="FFFFFF"/>
        </w:rPr>
        <w:t>同期活动</w:t>
      </w:r>
    </w:p>
    <w:p>
      <w:pPr>
        <w:pStyle w:val="2"/>
        <w:spacing w:line="540" w:lineRule="exact"/>
        <w:ind w:firstLine="0"/>
        <w:contextualSpacing/>
        <w:rPr>
          <w:rFonts w:ascii="仿宋_GB2312" w:hAnsi="仿宋_GB2312" w:cs="仿宋_GB2312"/>
          <w:szCs w:val="32"/>
          <w:shd w:val="clear" w:color="auto" w:fill="FFFFFF"/>
        </w:rPr>
      </w:pPr>
      <w:r>
        <w:rPr>
          <w:rFonts w:ascii="黑体" w:hAnsi="黑体" w:eastAsia="黑体" w:cs="黑体"/>
          <w:szCs w:val="32"/>
          <w:shd w:val="clear" w:color="auto" w:fill="FFFFFF"/>
        </w:rPr>
        <w:t xml:space="preserve">    </w:t>
      </w:r>
      <w:r>
        <w:rPr>
          <w:rFonts w:hint="eastAsia" w:ascii="仿宋_GB2312" w:hAnsi="仿宋_GB2312" w:cs="仿宋_GB2312"/>
          <w:szCs w:val="32"/>
          <w:shd w:val="clear" w:color="auto" w:fill="FFFFFF"/>
        </w:rPr>
        <w:t>跨境电商高峰论坛、跨境电商选品大会、跨境电商卖家采购商对接会、品牌展商新品发布会、AI及物联网趋势展望、5G产业应用主题峰会、AR/VR 机遇与挑战、未来智能家居生活主题研讨会等。</w:t>
      </w:r>
    </w:p>
    <w:p>
      <w:pPr>
        <w:ind w:firstLine="640" w:firstLineChars="200"/>
        <w:rPr>
          <w:rFonts w:hint="eastAsia" w:eastAsiaTheme="minorEastAsia"/>
          <w:lang w:eastAsia="zh-CN"/>
        </w:rPr>
      </w:pPr>
      <w:r>
        <w:rPr>
          <w:rFonts w:hint="eastAsia" w:ascii="黑体" w:hAnsi="黑体" w:eastAsia="黑体" w:cs="黑体"/>
          <w:kern w:val="0"/>
          <w:sz w:val="32"/>
          <w:szCs w:val="32"/>
          <w:shd w:val="clear" w:color="auto" w:fill="FFFFFF"/>
          <w:lang w:val="en-US" w:eastAsia="zh-CN" w:bidi="ar-SA"/>
        </w:rPr>
        <w:t>五、参展费用及补贴</w:t>
      </w:r>
      <w:r>
        <w:rPr>
          <w:rFonts w:ascii="黑体" w:hAnsi="黑体" w:eastAsia="黑体" w:cs="黑体"/>
          <w:szCs w:val="32"/>
          <w:shd w:val="clear" w:color="auto" w:fill="FFFFFF"/>
        </w:rPr>
        <w:br w:type="textWrapping"/>
      </w:r>
      <w:r>
        <w:rPr>
          <w:rFonts w:hint="eastAsia" w:ascii="楷体_GB2312" w:hAnsi="楷体_GB2312" w:eastAsia="楷体_GB2312" w:cs="楷体_GB2312"/>
          <w:b/>
          <w:bCs/>
          <w:kern w:val="0"/>
          <w:sz w:val="32"/>
          <w:szCs w:val="32"/>
          <w:shd w:val="clear" w:color="auto" w:fill="FFFFFF"/>
        </w:rPr>
        <w:t xml:space="preserve">    （一）参展费用</w:t>
      </w:r>
      <w:r>
        <w:rPr>
          <w:rFonts w:ascii="楷体_GB2312" w:hAnsi="楷体_GB2312" w:eastAsia="楷体_GB2312" w:cs="楷体_GB2312"/>
          <w:szCs w:val="32"/>
          <w:shd w:val="clear" w:color="auto" w:fill="FFFFFF"/>
        </w:rPr>
        <w:br w:type="textWrapping"/>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lang w:val="en-US" w:eastAsia="zh-CN"/>
        </w:rPr>
        <w:t xml:space="preserve"> </w:t>
      </w:r>
      <w:r>
        <w:rPr>
          <w:rFonts w:ascii="仿宋_GB2312" w:hAnsi="仿宋_GB2312" w:cs="仿宋_GB2312"/>
          <w:szCs w:val="32"/>
          <w:shd w:val="clear" w:color="auto" w:fill="FFFFFF"/>
        </w:rPr>
        <w:t xml:space="preserve"> </w:t>
      </w:r>
      <w:r>
        <w:rPr>
          <w:rFonts w:hint="eastAsia" w:ascii="仿宋_GB2312" w:hAnsi="仿宋_GB2312" w:eastAsia="仿宋_GB2312" w:cs="仿宋_GB2312"/>
          <w:kern w:val="0"/>
          <w:sz w:val="32"/>
          <w:szCs w:val="32"/>
          <w:shd w:val="clear" w:color="auto" w:fill="FFFFFF"/>
          <w:lang w:val="en-US" w:eastAsia="zh-CN" w:bidi="ar-SA"/>
        </w:rPr>
        <w:t>1.标准展位（9㎡）：RMB16800元。</w:t>
      </w:r>
      <w:r>
        <w:rPr>
          <w:rFonts w:ascii="仿宋_GB2312" w:hAnsi="仿宋_GB2312" w:cs="仿宋_GB2312"/>
          <w:szCs w:val="32"/>
          <w:shd w:val="clear" w:color="auto" w:fill="FFFFFF"/>
        </w:rPr>
        <w:br w:type="textWrapp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-1171575</wp:posOffset>
            </wp:positionH>
            <wp:positionV relativeFrom="paragraph">
              <wp:posOffset>-950595</wp:posOffset>
            </wp:positionV>
            <wp:extent cx="7560310" cy="10721975"/>
            <wp:effectExtent l="0" t="0" r="2540" b="3175"/>
            <wp:wrapNone/>
            <wp:docPr id="5" name="图片 5" descr="通知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通知4"/>
                    <pic:cNvPicPr>
                      <a:picLocks noChangeAspect="1"/>
                    </pic:cNvPicPr>
                  </pic:nvPicPr>
                  <pic:blipFill>
                    <a:blip r:embed="rId5"/>
                    <a:stretch>
                      <a:fillRect/>
                    </a:stretch>
                  </pic:blipFill>
                  <pic:spPr>
                    <a:xfrm>
                      <a:off x="0" y="0"/>
                      <a:ext cx="7560310" cy="10721975"/>
                    </a:xfrm>
                    <a:prstGeom prst="rect">
                      <a:avLst/>
                    </a:prstGeom>
                  </pic:spPr>
                </pic:pic>
              </a:graphicData>
            </a:graphic>
          </wp:anchor>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widowControl/>
        <w:spacing w:line="540" w:lineRule="exact"/>
        <w:jc w:val="left"/>
        <w:rPr>
          <w:rFonts w:ascii="仿宋_GB2312" w:hAnsi="仿宋_GB2312" w:eastAsia="仿宋_GB2312" w:cs="仿宋_GB2312"/>
          <w:sz w:val="32"/>
          <w:szCs w:val="32"/>
          <w:shd w:val="clear" w:color="auto" w:fill="FFFFFF"/>
        </w:rPr>
      </w:pPr>
      <w:r>
        <w:rPr>
          <w:rFonts w:hint="eastAsia" w:ascii="黑体" w:hAnsi="黑体" w:eastAsia="黑体" w:cs="黑体"/>
          <w:sz w:val="32"/>
          <w:szCs w:val="32"/>
        </w:rPr>
        <w:t>附件</w:t>
      </w:r>
    </w:p>
    <w:p>
      <w:pPr>
        <w:spacing w:beforeLines="50" w:afterLines="50"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 IEAE广州国际电子及电器博览会</w:t>
      </w:r>
    </w:p>
    <w:p>
      <w:pPr>
        <w:spacing w:beforeLines="50" w:afterLines="50"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参展申请表（合同书）</w:t>
      </w:r>
    </w:p>
    <w:tbl>
      <w:tblPr>
        <w:tblStyle w:val="4"/>
        <w:tblW w:w="89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904"/>
        <w:gridCol w:w="709"/>
        <w:gridCol w:w="3823"/>
        <w:gridCol w:w="1173"/>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839"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申请单位名称</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中文</w:t>
            </w:r>
          </w:p>
        </w:tc>
        <w:tc>
          <w:tcPr>
            <w:tcW w:w="6376" w:type="dxa"/>
            <w:gridSpan w:val="3"/>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英文</w:t>
            </w:r>
          </w:p>
        </w:tc>
        <w:tc>
          <w:tcPr>
            <w:tcW w:w="6376" w:type="dxa"/>
            <w:gridSpan w:val="3"/>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839"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申请单位地址</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中文</w:t>
            </w:r>
          </w:p>
        </w:tc>
        <w:tc>
          <w:tcPr>
            <w:tcW w:w="6376" w:type="dxa"/>
            <w:gridSpan w:val="3"/>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8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英文</w:t>
            </w:r>
          </w:p>
        </w:tc>
        <w:tc>
          <w:tcPr>
            <w:tcW w:w="6376" w:type="dxa"/>
            <w:gridSpan w:val="3"/>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839"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申请展位</w:t>
            </w:r>
          </w:p>
        </w:tc>
        <w:tc>
          <w:tcPr>
            <w:tcW w:w="4532" w:type="dxa"/>
            <w:gridSpan w:val="2"/>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光地展位：     （平方米）/标准展位       （个）</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展位费：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839"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展品内容 （具体）</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中文</w:t>
            </w:r>
          </w:p>
        </w:tc>
        <w:tc>
          <w:tcPr>
            <w:tcW w:w="3823"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申请单位</w:t>
            </w:r>
          </w:p>
          <w:p>
            <w:pPr>
              <w:widowControl/>
              <w:rPr>
                <w:rFonts w:ascii="微软雅黑" w:hAnsi="微软雅黑" w:eastAsia="微软雅黑" w:cs="微软雅黑"/>
                <w:sz w:val="18"/>
                <w:szCs w:val="18"/>
              </w:rPr>
            </w:pPr>
            <w:r>
              <w:rPr>
                <w:rFonts w:hint="eastAsia" w:ascii="微软雅黑" w:hAnsi="微软雅黑" w:eastAsia="微软雅黑" w:cs="微软雅黑"/>
                <w:sz w:val="18"/>
                <w:szCs w:val="18"/>
              </w:rPr>
              <w:t>盖章</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8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英文</w:t>
            </w:r>
          </w:p>
        </w:tc>
        <w:tc>
          <w:tcPr>
            <w:tcW w:w="3823"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371" w:type="dxa"/>
            <w:gridSpan w:val="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备注：</w:t>
            </w: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93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联系人</w:t>
            </w:r>
          </w:p>
        </w:tc>
        <w:tc>
          <w:tcPr>
            <w:tcW w:w="904"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电话</w:t>
            </w:r>
          </w:p>
        </w:tc>
        <w:tc>
          <w:tcPr>
            <w:tcW w:w="3823"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3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邮  编</w:t>
            </w:r>
          </w:p>
        </w:tc>
        <w:tc>
          <w:tcPr>
            <w:tcW w:w="904"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传真</w:t>
            </w:r>
          </w:p>
        </w:tc>
        <w:tc>
          <w:tcPr>
            <w:tcW w:w="3823"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3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E-mail</w:t>
            </w:r>
          </w:p>
        </w:tc>
        <w:tc>
          <w:tcPr>
            <w:tcW w:w="5436" w:type="dxa"/>
            <w:gridSpan w:val="3"/>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35"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主页</w:t>
            </w:r>
          </w:p>
        </w:tc>
        <w:tc>
          <w:tcPr>
            <w:tcW w:w="5436" w:type="dxa"/>
            <w:gridSpan w:val="3"/>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637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sz w:val="18"/>
                <w:szCs w:val="18"/>
              </w:rPr>
            </w:pPr>
            <w:r>
              <w:rPr>
                <w:rFonts w:hint="eastAsia" w:ascii="微软雅黑" w:hAnsi="微软雅黑" w:eastAsia="微软雅黑" w:cs="微软雅黑"/>
                <w:sz w:val="18"/>
                <w:szCs w:val="18"/>
              </w:rPr>
              <w:t>参展费用和汇款账号:</w:t>
            </w:r>
          </w:p>
          <w:p>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户  名：四川省国际展览中心。</w:t>
            </w:r>
          </w:p>
          <w:p>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账  号：7828 0188 0000 57063。</w:t>
            </w:r>
          </w:p>
          <w:p>
            <w:pPr>
              <w:spacing w:line="300" w:lineRule="exact"/>
              <w:rPr>
                <w:rFonts w:ascii="微软雅黑" w:hAnsi="微软雅黑" w:eastAsia="微软雅黑" w:cs="微软雅黑"/>
                <w:sz w:val="18"/>
                <w:szCs w:val="18"/>
              </w:rPr>
            </w:pPr>
            <w:r>
              <w:rPr>
                <w:rFonts w:hint="eastAsia" w:ascii="微软雅黑" w:hAnsi="微软雅黑" w:eastAsia="微软雅黑" w:cs="微软雅黑"/>
                <w:sz w:val="18"/>
                <w:szCs w:val="18"/>
              </w:rPr>
              <w:t>开户行：中国光大银行成都三洞桥支行</w:t>
            </w:r>
          </w:p>
        </w:tc>
        <w:tc>
          <w:tcPr>
            <w:tcW w:w="1173"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组织单位</w:t>
            </w:r>
          </w:p>
          <w:p>
            <w:pPr>
              <w:rPr>
                <w:rFonts w:ascii="微软雅黑" w:hAnsi="微软雅黑" w:eastAsia="微软雅黑" w:cs="微软雅黑"/>
                <w:sz w:val="18"/>
                <w:szCs w:val="18"/>
              </w:rPr>
            </w:pPr>
            <w:r>
              <w:rPr>
                <w:rFonts w:hint="eastAsia" w:ascii="微软雅黑" w:hAnsi="微软雅黑" w:eastAsia="微软雅黑" w:cs="微软雅黑"/>
                <w:sz w:val="18"/>
                <w:szCs w:val="18"/>
              </w:rPr>
              <w:t>确认盖章</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2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sz w:val="18"/>
                <w:szCs w:val="18"/>
              </w:rPr>
            </w:pPr>
            <w:r>
              <w:rPr>
                <w:rFonts w:hint="eastAsia" w:ascii="微软雅黑" w:hAnsi="微软雅黑" w:eastAsia="微软雅黑" w:cs="微软雅黑"/>
                <w:sz w:val="18"/>
                <w:szCs w:val="18"/>
              </w:rPr>
              <w:t xml:space="preserve">说明: </w:t>
            </w:r>
          </w:p>
          <w:p>
            <w:pPr>
              <w:spacing w:line="36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1.本申请表（合同书）一式二份, 经双方盖章确认后即开始具有法律效力</w:t>
            </w:r>
            <w:r>
              <w:rPr>
                <w:rFonts w:hint="eastAsia" w:ascii="微软雅黑" w:hAnsi="微软雅黑" w:eastAsia="微软雅黑" w:cs="微软雅黑"/>
                <w:sz w:val="18"/>
                <w:szCs w:val="18"/>
                <w:lang w:eastAsia="zh-CN"/>
              </w:rPr>
              <w:t>。</w:t>
            </w:r>
          </w:p>
          <w:p>
            <w:pPr>
              <w:spacing w:line="36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2.本申请表一经确认，请于5个工作日内将展位费以人民币一次汇入组展单位指定的银行账户，逾期组委会有权不予以保留预订展位</w:t>
            </w:r>
            <w:r>
              <w:rPr>
                <w:rFonts w:hint="eastAsia" w:ascii="微软雅黑" w:hAnsi="微软雅黑" w:eastAsia="微软雅黑" w:cs="微软雅黑"/>
                <w:sz w:val="18"/>
                <w:szCs w:val="18"/>
                <w:lang w:eastAsia="zh-CN"/>
              </w:rPr>
              <w:t>。</w:t>
            </w:r>
          </w:p>
          <w:p>
            <w:pPr>
              <w:spacing w:line="360" w:lineRule="exact"/>
              <w:rPr>
                <w:rFonts w:ascii="微软雅黑" w:hAnsi="微软雅黑" w:eastAsia="微软雅黑" w:cs="微软雅黑"/>
                <w:sz w:val="18"/>
                <w:szCs w:val="18"/>
              </w:rPr>
            </w:pPr>
            <w:r>
              <w:rPr>
                <w:rFonts w:hint="eastAsia" w:ascii="微软雅黑" w:hAnsi="微软雅黑" w:eastAsia="微软雅黑" w:cs="微软雅黑"/>
                <w:sz w:val="18"/>
                <w:szCs w:val="18"/>
              </w:rPr>
              <w:t>3.参展单位申请经我方盖章确认后不得退展，否则参展单位要承担所发生的一切费用，主办方将扣除10%的展位费作为手续费。</w:t>
            </w:r>
          </w:p>
          <w:p>
            <w:pPr>
              <w:spacing w:line="36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4.若主办方因故取消办展，只退回报名企业所交的参展费用，不承担其他任何责任</w:t>
            </w:r>
            <w:r>
              <w:rPr>
                <w:rFonts w:hint="eastAsia" w:ascii="微软雅黑" w:hAnsi="微软雅黑" w:eastAsia="微软雅黑" w:cs="微软雅黑"/>
                <w:sz w:val="18"/>
                <w:szCs w:val="18"/>
                <w:lang w:eastAsia="zh-CN"/>
              </w:rPr>
              <w:t>。</w:t>
            </w:r>
          </w:p>
          <w:p>
            <w:pPr>
              <w:spacing w:line="36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5.主办方收到全额展位费后，将为参展单位开具参展发票</w:t>
            </w:r>
            <w:r>
              <w:rPr>
                <w:rFonts w:hint="eastAsia" w:ascii="微软雅黑" w:hAnsi="微软雅黑" w:eastAsia="微软雅黑" w:cs="微软雅黑"/>
                <w:sz w:val="18"/>
                <w:szCs w:val="18"/>
                <w:lang w:eastAsia="zh-CN"/>
              </w:rPr>
              <w:t>。</w:t>
            </w:r>
          </w:p>
          <w:p>
            <w:pPr>
              <w:tabs>
                <w:tab w:val="left" w:pos="8012"/>
              </w:tabs>
              <w:spacing w:line="360" w:lineRule="exact"/>
              <w:ind w:right="-28"/>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6.凡实际出运展品或实际展品价值与贵单位申报不符造成的损失由参展单位负担</w:t>
            </w:r>
            <w:r>
              <w:rPr>
                <w:rFonts w:hint="eastAsia" w:ascii="微软雅黑" w:hAnsi="微软雅黑" w:eastAsia="微软雅黑" w:cs="微软雅黑"/>
                <w:sz w:val="18"/>
                <w:szCs w:val="18"/>
                <w:lang w:eastAsia="zh-CN"/>
              </w:rPr>
              <w:t>。</w:t>
            </w:r>
          </w:p>
          <w:p>
            <w:pPr>
              <w:tabs>
                <w:tab w:val="left" w:pos="8012"/>
              </w:tabs>
              <w:spacing w:line="360" w:lineRule="exact"/>
              <w:ind w:right="-28"/>
              <w:rPr>
                <w:rFonts w:ascii="微软雅黑" w:hAnsi="微软雅黑" w:eastAsia="微软雅黑" w:cs="微软雅黑"/>
                <w:sz w:val="18"/>
                <w:szCs w:val="18"/>
              </w:rPr>
            </w:pPr>
            <w:r>
              <w:rPr>
                <w:rFonts w:hint="eastAsia" w:ascii="微软雅黑" w:hAnsi="微软雅黑" w:eastAsia="微软雅黑" w:cs="微软雅黑"/>
                <w:sz w:val="18"/>
                <w:szCs w:val="18"/>
              </w:rPr>
              <w:t>7.遇人力不可抗拒，如战争、罢工、自然灾害等，给参展单位带来的损失由双方协商解决。</w:t>
            </w:r>
          </w:p>
        </w:tc>
      </w:tr>
    </w:tbl>
    <w:p>
      <w:pPr>
        <w:rPr>
          <w:rFonts w:hint="eastAsia" w:eastAsiaTheme="minorEastAsia"/>
          <w:lang w:eastAsia="zh-CN"/>
        </w:rPr>
      </w:pPr>
      <w:r>
        <w:rPr>
          <w:rFonts w:hint="eastAsia" w:ascii="仿宋_GB2312" w:hAnsi="仿宋" w:eastAsia="仿宋_GB2312" w:cs="仿宋"/>
          <w:b/>
          <w:bCs/>
          <w:sz w:val="24"/>
          <w:szCs w:val="24"/>
          <w:lang w:val="en-US"/>
        </w:rPr>
        <w:t>备注：</w:t>
      </w:r>
      <w:r>
        <w:rPr>
          <w:rFonts w:hint="eastAsia" w:ascii="仿宋_GB2312" w:hAnsi="仿宋" w:eastAsia="仿宋_GB2312" w:cs="仿宋"/>
          <w:sz w:val="24"/>
          <w:szCs w:val="24"/>
          <w:lang w:val="en-US"/>
        </w:rPr>
        <w:t>请参展单位填写此表并盖章后，于2021年3月10日前邮件反馈我会。</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DE8D4"/>
    <w:multiLevelType w:val="singleLevel"/>
    <w:tmpl w:val="B6CDE8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95CC2"/>
    <w:rsid w:val="222F2490"/>
    <w:rsid w:val="3E9D4880"/>
    <w:rsid w:val="61B9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630"/>
    </w:pPr>
    <w:rPr>
      <w:rFonts w:eastAsia="仿宋_GB2312"/>
      <w:kern w:val="0"/>
      <w:sz w:val="32"/>
      <w:szCs w:val="20"/>
    </w:rPr>
  </w:style>
  <w:style w:type="paragraph" w:styleId="3">
    <w:name w:val="Body Text"/>
    <w:basedOn w:val="1"/>
    <w:qFormat/>
    <w:uiPriority w:val="0"/>
    <w:rPr>
      <w:rFonts w:ascii="Arial Unicode MS" w:hAnsi="Arial Unicode MS" w:eastAsia="Arial Unicode MS" w:cs="Arial Unicode MS"/>
      <w:sz w:val="27"/>
      <w:szCs w:val="27"/>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2021-02-24T08:20:00Z</dcterms:created>
  <dc:creator>Administrator</dc:creator>
  <cp:lastModifiedBy>lou小焦</cp:lastModifiedBy>
  <dcterms:modified xsi:type="dcterms:W3CDTF">2021-02-25T08:50:34Z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