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2"/>
        <w:rPr>
          <w:rFonts w:hint="eastAsia" w:ascii="方正小标宋_GBK" w:hAnsi="微软雅黑" w:eastAsia="方正小标宋_GBK" w:cs="宋体"/>
          <w:color w:val="333333"/>
          <w:kern w:val="0"/>
          <w:sz w:val="44"/>
          <w:szCs w:val="44"/>
          <w:lang w:eastAsia="zh-CN"/>
        </w:rPr>
      </w:pPr>
    </w:p>
    <w:p>
      <w:pPr>
        <w:widowControl/>
        <w:shd w:val="clear" w:color="auto" w:fill="FFFFFF"/>
        <w:spacing w:line="600" w:lineRule="exact"/>
        <w:jc w:val="center"/>
        <w:outlineLvl w:val="2"/>
        <w:rPr>
          <w:rFonts w:hint="eastAsia" w:ascii="方正小标宋_GBK" w:hAnsi="微软雅黑" w:eastAsia="方正小标宋_GBK" w:cs="宋体"/>
          <w:color w:val="333333"/>
          <w:kern w:val="0"/>
          <w:sz w:val="44"/>
          <w:szCs w:val="44"/>
          <w:lang w:eastAsia="zh-CN"/>
        </w:rPr>
      </w:pPr>
      <w:r>
        <w:rPr>
          <w:rFonts w:hint="eastAsia" w:ascii="方正小标宋_GBK" w:hAnsi="微软雅黑" w:eastAsia="方正小标宋_GBK" w:cs="宋体"/>
          <w:color w:val="333333"/>
          <w:kern w:val="0"/>
          <w:sz w:val="44"/>
          <w:szCs w:val="44"/>
          <w:lang w:eastAsia="zh-CN"/>
        </w:rPr>
        <w:t>关于</w:t>
      </w:r>
      <w:r>
        <w:rPr>
          <w:rFonts w:hint="eastAsia" w:ascii="方正小标宋_GBK" w:hAnsi="微软雅黑" w:eastAsia="方正小标宋_GBK" w:cs="宋体"/>
          <w:color w:val="333333"/>
          <w:kern w:val="0"/>
          <w:sz w:val="44"/>
          <w:szCs w:val="44"/>
        </w:rPr>
        <w:t>邀请</w:t>
      </w:r>
      <w:r>
        <w:rPr>
          <w:rFonts w:hint="eastAsia" w:ascii="方正小标宋_GBK" w:hAnsi="微软雅黑" w:eastAsia="方正小标宋_GBK" w:cs="宋体"/>
          <w:color w:val="333333"/>
          <w:kern w:val="0"/>
          <w:sz w:val="44"/>
          <w:szCs w:val="44"/>
          <w:lang w:eastAsia="zh-CN"/>
        </w:rPr>
        <w:t>参加</w:t>
      </w:r>
      <w:r>
        <w:rPr>
          <w:rFonts w:hint="eastAsia" w:ascii="方正小标宋_GBK" w:hAnsi="微软雅黑" w:eastAsia="方正小标宋_GBK" w:cs="宋体"/>
          <w:color w:val="333333"/>
          <w:kern w:val="0"/>
          <w:sz w:val="44"/>
          <w:szCs w:val="44"/>
        </w:rPr>
        <w:t>2022年哈萨克斯坦矿业领域闭门研讨会暨中哈企业项目合作对接会</w:t>
      </w:r>
      <w:r>
        <w:rPr>
          <w:rFonts w:hint="eastAsia" w:ascii="方正小标宋_GBK" w:hAnsi="微软雅黑" w:eastAsia="方正小标宋_GBK" w:cs="宋体"/>
          <w:color w:val="333333"/>
          <w:kern w:val="0"/>
          <w:sz w:val="44"/>
          <w:szCs w:val="44"/>
          <w:lang w:eastAsia="zh-CN"/>
        </w:rPr>
        <w:t>的通知</w:t>
      </w:r>
    </w:p>
    <w:p>
      <w:pPr>
        <w:pStyle w:val="4"/>
        <w:shd w:val="clear" w:color="auto" w:fill="FFFFFF"/>
        <w:spacing w:before="0" w:beforeAutospacing="0" w:after="0" w:afterAutospacing="0" w:line="495" w:lineRule="atLeast"/>
        <w:jc w:val="both"/>
        <w:rPr>
          <w:rFonts w:hint="eastAsia" w:ascii="方正仿宋简体" w:hAnsi="Times New Roman" w:eastAsia="方正仿宋简体" w:cs="Times New Roman"/>
          <w:color w:val="333333"/>
          <w:sz w:val="32"/>
          <w:szCs w:val="32"/>
          <w:lang w:eastAsia="zh-CN"/>
        </w:rPr>
      </w:pPr>
    </w:p>
    <w:p>
      <w:pPr>
        <w:pStyle w:val="4"/>
        <w:shd w:val="clear" w:color="auto" w:fill="FFFFFF"/>
        <w:spacing w:before="0" w:beforeAutospacing="0" w:after="0" w:afterAutospacing="0" w:line="495" w:lineRule="atLeast"/>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sz w:val="32"/>
          <w:szCs w:val="32"/>
          <w:lang w:eastAsia="zh-CN"/>
        </w:rPr>
        <w:t>各相关企业：</w:t>
      </w:r>
    </w:p>
    <w:p>
      <w:pPr>
        <w:pStyle w:val="4"/>
        <w:shd w:val="clear" w:color="auto" w:fill="FFFFFF"/>
        <w:spacing w:before="0" w:beforeAutospacing="0" w:after="0" w:afterAutospacing="0" w:line="495" w:lineRule="atLeas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为使中资企业进一步了解哈萨克斯坦矿业领域政策及相关法律，加强中资企业与哈生态、地质和自然资源部及项目业主之间的交流，帮助中资企业扩展在哈业务，促进中哈企业在矿产领域交流与合作</w:t>
      </w: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贸促会驻哈代表处（</w:t>
      </w:r>
      <w:r>
        <w:rPr>
          <w:rFonts w:hint="eastAsia" w:ascii="仿宋_GB2312" w:hAnsi="仿宋_GB2312" w:eastAsia="仿宋_GB2312" w:cs="仿宋_GB2312"/>
          <w:sz w:val="32"/>
          <w:szCs w:val="32"/>
          <w:lang w:eastAsia="zh-CN"/>
        </w:rPr>
        <w:t>哈萨克斯坦中国</w:t>
      </w:r>
      <w:r>
        <w:rPr>
          <w:rFonts w:hint="eastAsia" w:ascii="仿宋_GB2312" w:hAnsi="仿宋_GB2312" w:eastAsia="仿宋_GB2312" w:cs="仿宋_GB2312"/>
          <w:sz w:val="32"/>
          <w:szCs w:val="32"/>
        </w:rPr>
        <w:t>总商会秘书处）</w:t>
      </w:r>
      <w:r>
        <w:rPr>
          <w:rFonts w:hint="default" w:ascii="Times New Roman" w:hAnsi="Times New Roman" w:eastAsia="仿宋_GB2312" w:cs="Times New Roman"/>
          <w:sz w:val="32"/>
          <w:szCs w:val="32"/>
        </w:rPr>
        <w:t>计划于9月24日</w:t>
      </w:r>
      <w:r>
        <w:rPr>
          <w:rFonts w:hint="default" w:ascii="Times New Roman" w:hAnsi="Times New Roman" w:eastAsia="仿宋_GB2312" w:cs="Times New Roman"/>
          <w:sz w:val="32"/>
          <w:szCs w:val="32"/>
          <w:lang w:eastAsia="zh-CN"/>
        </w:rPr>
        <w:t>以“</w:t>
      </w:r>
      <w:r>
        <w:rPr>
          <w:rFonts w:hint="eastAsia" w:ascii="仿宋_GB2312" w:hAnsi="仿宋_GB2312" w:eastAsia="仿宋_GB2312" w:cs="仿宋_GB2312"/>
          <w:sz w:val="32"/>
          <w:szCs w:val="32"/>
          <w:lang w:eastAsia="zh-CN"/>
        </w:rPr>
        <w:t>线下＋线上”形式</w:t>
      </w:r>
      <w:r>
        <w:rPr>
          <w:rFonts w:hint="eastAsia" w:ascii="仿宋_GB2312" w:hAnsi="仿宋_GB2312" w:eastAsia="仿宋_GB2312" w:cs="仿宋_GB2312"/>
          <w:sz w:val="32"/>
          <w:szCs w:val="32"/>
        </w:rPr>
        <w:t>举办哈萨克斯坦矿业领域闭门研讨会暨中哈企业项目合作对接会，届时将邀请哈生态、地质和自然资源部相关领导、矿业领域资深专家</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优质项目业主解读哈矿产资源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包括油气领域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开采的最新法律及政策，介绍哈矿产资源分布情况、优质矿产项目，以及研讨问答。</w:t>
      </w:r>
    </w:p>
    <w:p>
      <w:pPr>
        <w:pStyle w:val="4"/>
        <w:shd w:val="clear" w:color="auto" w:fill="FFFFFF"/>
        <w:spacing w:before="0" w:beforeAutospacing="0" w:after="0" w:afterAutospacing="0" w:line="495" w:lineRule="atLeast"/>
        <w:ind w:firstLine="640" w:firstLineChars="200"/>
        <w:jc w:val="both"/>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四川省贸促会将组织感兴趣的企业线上参加此次会议，</w:t>
      </w:r>
      <w:r>
        <w:rPr>
          <w:rFonts w:hint="eastAsia" w:ascii="仿宋_GB2312" w:hAnsi="仿宋_GB2312" w:eastAsia="仿宋_GB2312" w:cs="仿宋_GB2312"/>
          <w:sz w:val="32"/>
          <w:szCs w:val="32"/>
        </w:rPr>
        <w:t>有意参会的企业请</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9月22日前将</w:t>
      </w:r>
      <w:r>
        <w:rPr>
          <w:rFonts w:hint="eastAsia" w:ascii="仿宋_GB2312" w:hAnsi="仿宋_GB2312" w:eastAsia="仿宋_GB2312" w:cs="仿宋_GB2312"/>
          <w:sz w:val="32"/>
          <w:szCs w:val="32"/>
          <w:lang w:val="en-US" w:eastAsia="zh-CN"/>
        </w:rPr>
        <w:t>参会回执发送至</w:t>
      </w:r>
      <w:r>
        <w:rPr>
          <w:rFonts w:hint="default" w:ascii="Times New Roman" w:hAnsi="Times New Roman" w:eastAsia="仿宋_GB2312" w:cs="Times New Roman"/>
          <w:sz w:val="32"/>
          <w:szCs w:val="32"/>
          <w:lang w:val="en-US" w:eastAsia="zh-CN"/>
        </w:rPr>
        <w:t>tiancp@ccpit-sichuan.org</w:t>
      </w:r>
      <w:r>
        <w:rPr>
          <w:rFonts w:hint="eastAsia" w:ascii="Times New Roman" w:hAnsi="Times New Roman" w:eastAsia="仿宋_GB2312" w:cs="Times New Roman"/>
          <w:sz w:val="32"/>
          <w:szCs w:val="32"/>
          <w:lang w:val="en-US" w:eastAsia="zh-CN"/>
        </w:rPr>
        <w:t>，线上会议平台及相关信息将随后发送至参会</w:t>
      </w:r>
      <w:bookmarkStart w:id="0" w:name="_GoBack"/>
      <w:bookmarkEnd w:id="0"/>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w:t>
      </w:r>
    </w:p>
    <w:p>
      <w:pPr>
        <w:pStyle w:val="4"/>
        <w:shd w:val="clear" w:color="auto" w:fill="FFFFFF"/>
        <w:spacing w:before="0" w:beforeAutospacing="0" w:after="0" w:afterAutospacing="0" w:line="495" w:lineRule="atLeas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联系人：四川省贸促会国际联络部田成鹏，028-68909133。</w:t>
      </w:r>
    </w:p>
    <w:p>
      <w:pPr>
        <w:pStyle w:val="4"/>
        <w:shd w:val="clear" w:color="auto" w:fill="FFFFFF"/>
        <w:spacing w:before="0" w:beforeAutospacing="0" w:after="0" w:afterAutospacing="0" w:line="495" w:lineRule="atLeast"/>
        <w:ind w:firstLine="640" w:firstLineChars="200"/>
        <w:jc w:val="both"/>
        <w:rPr>
          <w:rFonts w:hint="default" w:ascii="Times New Roman" w:hAnsi="Times New Roman" w:eastAsia="仿宋_GB2312" w:cs="Times New Roman"/>
          <w:sz w:val="32"/>
          <w:szCs w:val="32"/>
          <w:lang w:val="en-US" w:eastAsia="zh-CN"/>
        </w:rPr>
      </w:pPr>
    </w:p>
    <w:p>
      <w:pPr>
        <w:pStyle w:val="4"/>
        <w:shd w:val="clear" w:color="auto" w:fill="FFFFFF"/>
        <w:spacing w:before="0" w:beforeAutospacing="0" w:after="0" w:afterAutospacing="0" w:line="495" w:lineRule="atLeast"/>
        <w:ind w:firstLine="640" w:firstLineChars="200"/>
        <w:jc w:val="both"/>
        <w:rPr>
          <w:rFonts w:hint="default" w:ascii="Times New Roman" w:hAnsi="Times New Roman" w:eastAsia="仿宋_GB2312" w:cs="Times New Roman"/>
          <w:sz w:val="32"/>
          <w:szCs w:val="32"/>
          <w:lang w:val="en-US" w:eastAsia="zh-CN"/>
        </w:rPr>
      </w:pPr>
    </w:p>
    <w:p>
      <w:pPr>
        <w:pStyle w:val="4"/>
        <w:shd w:val="clear" w:color="auto" w:fill="FFFFFF"/>
        <w:spacing w:before="0" w:beforeAutospacing="0" w:after="0" w:afterAutospacing="0" w:line="495" w:lineRule="atLeast"/>
        <w:ind w:firstLine="640" w:firstLineChars="200"/>
        <w:jc w:val="both"/>
        <w:rPr>
          <w:rFonts w:hint="default" w:ascii="Times New Roman" w:hAnsi="Times New Roman" w:eastAsia="仿宋_GB2312" w:cs="Times New Roman"/>
          <w:sz w:val="32"/>
          <w:szCs w:val="32"/>
          <w:lang w:val="en-US" w:eastAsia="zh-CN"/>
        </w:rPr>
      </w:pPr>
    </w:p>
    <w:p>
      <w:pPr>
        <w:pStyle w:val="4"/>
        <w:shd w:val="clear" w:color="auto" w:fill="FFFFFF"/>
        <w:spacing w:before="0" w:beforeAutospacing="0" w:after="0" w:afterAutospacing="0" w:line="495" w:lineRule="atLeast"/>
        <w:ind w:firstLine="645"/>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附件：1. 2022年哈萨克斯坦矿业领域闭门研讨会暨中哈企业项目合作对接会初步议程</w:t>
      </w:r>
    </w:p>
    <w:p>
      <w:pPr>
        <w:pStyle w:val="4"/>
        <w:numPr>
          <w:ilvl w:val="0"/>
          <w:numId w:val="1"/>
        </w:numPr>
        <w:shd w:val="clear" w:color="auto" w:fill="FFFFFF"/>
        <w:spacing w:before="0" w:beforeAutospacing="0" w:after="0" w:afterAutospacing="0" w:line="495" w:lineRule="atLeast"/>
        <w:ind w:left="1605" w:leftChars="0" w:firstLine="0" w:firstLineChars="0"/>
        <w:jc w:val="both"/>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 参会回执</w:t>
      </w:r>
    </w:p>
    <w:p>
      <w:pPr>
        <w:pStyle w:val="4"/>
        <w:numPr>
          <w:numId w:val="0"/>
        </w:numPr>
        <w:shd w:val="clear" w:color="auto" w:fill="FFFFFF"/>
        <w:spacing w:before="0" w:beforeAutospacing="0" w:after="0" w:afterAutospacing="0" w:line="495" w:lineRule="atLeast"/>
        <w:jc w:val="both"/>
        <w:rPr>
          <w:rFonts w:hint="default" w:ascii="Times New Roman" w:hAnsi="Times New Roman" w:eastAsia="仿宋_GB2312" w:cs="Times New Roman"/>
          <w:sz w:val="32"/>
          <w:szCs w:val="32"/>
        </w:rPr>
      </w:pPr>
    </w:p>
    <w:p>
      <w:pPr>
        <w:pStyle w:val="4"/>
        <w:shd w:val="clear" w:color="auto" w:fill="FFFFFF"/>
        <w:spacing w:before="0" w:beforeAutospacing="0" w:after="0" w:afterAutospacing="0" w:line="495" w:lineRule="atLeast"/>
        <w:ind w:firstLine="645"/>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四川省贸促会</w:t>
      </w:r>
    </w:p>
    <w:p>
      <w:pPr>
        <w:pStyle w:val="4"/>
        <w:shd w:val="clear" w:color="auto" w:fill="FFFFFF"/>
        <w:spacing w:before="0" w:beforeAutospacing="0" w:after="0" w:afterAutospacing="0" w:line="495" w:lineRule="atLeast"/>
        <w:ind w:firstLine="1605"/>
        <w:jc w:val="both"/>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color w:val="333333"/>
          <w:sz w:val="32"/>
          <w:szCs w:val="32"/>
          <w:lang w:val="en-US" w:eastAsia="zh-CN"/>
        </w:rPr>
        <w:t xml:space="preserve">                      </w:t>
      </w:r>
      <w:r>
        <w:rPr>
          <w:rFonts w:hint="default" w:ascii="Times New Roman" w:hAnsi="Times New Roman" w:eastAsia="仿宋_GB2312" w:cs="Times New Roman"/>
          <w:sz w:val="32"/>
          <w:szCs w:val="32"/>
          <w:lang w:val="en-US" w:eastAsia="zh-CN"/>
        </w:rPr>
        <w:t>2022年9月16日</w:t>
      </w: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default"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eastAsia"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eastAsia"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eastAsia" w:ascii="仿宋_GB2312" w:hAnsi="仿宋_GB2312" w:eastAsia="仿宋_GB2312" w:cs="仿宋_GB2312"/>
          <w:sz w:val="32"/>
          <w:szCs w:val="32"/>
          <w:lang w:val="en-US" w:eastAsia="zh-CN"/>
        </w:rPr>
      </w:pPr>
    </w:p>
    <w:p>
      <w:pPr>
        <w:pStyle w:val="4"/>
        <w:shd w:val="clear" w:color="auto" w:fill="FFFFFF"/>
        <w:spacing w:before="0" w:beforeAutospacing="0" w:after="0" w:afterAutospacing="0" w:line="495" w:lineRule="atLeast"/>
        <w:ind w:firstLine="1605"/>
        <w:jc w:val="both"/>
        <w:rPr>
          <w:rFonts w:hint="eastAsia" w:ascii="仿宋_GB2312" w:hAnsi="仿宋_GB2312" w:eastAsia="仿宋_GB2312" w:cs="仿宋_GB2312"/>
          <w:sz w:val="32"/>
          <w:szCs w:val="32"/>
          <w:lang w:val="en-US" w:eastAsia="zh-CN"/>
        </w:rPr>
      </w:pPr>
    </w:p>
    <w:p>
      <w:pPr>
        <w:rPr>
          <w:rFonts w:ascii="黑体" w:hAnsi="黑体" w:eastAsia="黑体"/>
          <w:sz w:val="32"/>
          <w:szCs w:val="32"/>
        </w:rPr>
      </w:pPr>
      <w:r>
        <w:rPr>
          <w:rFonts w:hint="eastAsia" w:ascii="黑体" w:hAnsi="黑体" w:eastAsia="黑体"/>
          <w:sz w:val="32"/>
          <w:szCs w:val="32"/>
        </w:rPr>
        <w:t>附件1</w:t>
      </w:r>
    </w:p>
    <w:p>
      <w:pPr>
        <w:widowControl/>
        <w:shd w:val="clear" w:color="auto" w:fill="FFFFFF"/>
        <w:spacing w:line="600" w:lineRule="exact"/>
        <w:jc w:val="center"/>
        <w:outlineLvl w:val="2"/>
        <w:rPr>
          <w:rFonts w:hint="eastAsia"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rPr>
        <w:t>2022年哈萨克斯坦矿业领域闭门研讨会暨中哈企业项目合作对接会初步议程</w:t>
      </w:r>
    </w:p>
    <w:p>
      <w:pPr>
        <w:pStyle w:val="12"/>
        <w:numPr>
          <w:numId w:val="0"/>
        </w:numPr>
        <w:spacing w:line="600" w:lineRule="exact"/>
        <w:ind w:leftChars="0"/>
        <w:rPr>
          <w:rFonts w:hint="default" w:ascii="Times New Roman" w:hAnsi="Times New Roman" w:eastAsia="仿宋_GB2312" w:cs="Times New Roman"/>
          <w:sz w:val="32"/>
          <w:szCs w:val="32"/>
          <w:lang w:eastAsia="zh-CN"/>
        </w:rPr>
      </w:pPr>
    </w:p>
    <w:p>
      <w:pPr>
        <w:pStyle w:val="12"/>
        <w:numPr>
          <w:numId w:val="0"/>
        </w:numPr>
        <w:spacing w:line="600" w:lineRule="exact"/>
        <w:ind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哈萨克斯坦生态、地质和自然资源部致辞及发言</w:t>
      </w:r>
    </w:p>
    <w:p>
      <w:pPr>
        <w:pStyle w:val="12"/>
        <w:numPr>
          <w:numId w:val="0"/>
        </w:numPr>
        <w:spacing w:line="600" w:lineRule="exact"/>
        <w:ind w:leftChars="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中国贸促会驻哈首席代表陈鸿强致辞</w:t>
      </w:r>
    </w:p>
    <w:p>
      <w:pPr>
        <w:pStyle w:val="12"/>
        <w:numPr>
          <w:numId w:val="0"/>
        </w:numPr>
        <w:spacing w:line="600" w:lineRule="exact"/>
        <w:ind w:leftChars="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ru-RU"/>
        </w:rPr>
        <w:t>Полюс Казахстан</w:t>
      </w:r>
      <w:r>
        <w:rPr>
          <w:rFonts w:hint="default" w:ascii="Times New Roman" w:hAnsi="Times New Roman" w:eastAsia="仿宋_GB2312" w:cs="Times New Roman"/>
          <w:sz w:val="32"/>
          <w:szCs w:val="32"/>
        </w:rPr>
        <w:t>”（珀琉斯哈萨克斯坦）公司总经理阿</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斯卡尔·沙梅诺夫（</w:t>
      </w:r>
      <w:r>
        <w:rPr>
          <w:rFonts w:hint="default" w:ascii="Times New Roman" w:hAnsi="Times New Roman" w:eastAsia="仿宋_GB2312" w:cs="Times New Roman"/>
          <w:sz w:val="32"/>
          <w:szCs w:val="32"/>
          <w:lang w:val="ru-RU"/>
        </w:rPr>
        <w:t>Аскар Шаменов</w:t>
      </w:r>
      <w:r>
        <w:rPr>
          <w:rFonts w:hint="default" w:ascii="Times New Roman" w:hAnsi="Times New Roman" w:eastAsia="仿宋_GB2312" w:cs="Times New Roman"/>
          <w:sz w:val="32"/>
          <w:szCs w:val="32"/>
        </w:rPr>
        <w:t>）发言（主题：介绍外国企业如何顺利进入哈萨克斯坦矿业市场相关经验）</w:t>
      </w:r>
    </w:p>
    <w:p>
      <w:pPr>
        <w:pStyle w:val="12"/>
        <w:numPr>
          <w:numId w:val="0"/>
        </w:numPr>
        <w:spacing w:line="600" w:lineRule="exact"/>
        <w:ind w:leftChars="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哈萨克斯坦矿产领域政策及相关法律问答环节</w:t>
      </w:r>
    </w:p>
    <w:p>
      <w:pPr>
        <w:pStyle w:val="12"/>
        <w:numPr>
          <w:numId w:val="0"/>
        </w:numPr>
        <w:spacing w:line="600" w:lineRule="exact"/>
        <w:ind w:leftChars="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部分哈萨克斯坦优质矿产项目负责人作项目推介</w:t>
      </w:r>
    </w:p>
    <w:p>
      <w:pPr>
        <w:pStyle w:val="12"/>
        <w:numPr>
          <w:numId w:val="0"/>
        </w:numPr>
        <w:spacing w:line="600" w:lineRule="exact"/>
        <w:ind w:leftChars="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中哈企业自由交流</w:t>
      </w:r>
    </w:p>
    <w:p>
      <w:pPr>
        <w:rPr>
          <w:rFonts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参会回执</w:t>
      </w:r>
    </w:p>
    <w:tbl>
      <w:tblPr>
        <w:tblStyle w:val="6"/>
        <w:tblpPr w:leftFromText="180" w:rightFromText="180" w:vertAnchor="text" w:horzAnchor="page" w:tblpX="837" w:tblpY="956"/>
        <w:tblOverlap w:val="never"/>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55"/>
        <w:gridCol w:w="1635"/>
        <w:gridCol w:w="1065"/>
        <w:gridCol w:w="1605"/>
        <w:gridCol w:w="1845"/>
        <w:gridCol w:w="10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8"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0"/>
                <w:szCs w:val="30"/>
              </w:rPr>
            </w:pPr>
            <w:r>
              <w:rPr>
                <w:rFonts w:hint="eastAsia" w:ascii="黑体" w:hAnsi="黑体" w:eastAsia="黑体"/>
                <w:sz w:val="30"/>
                <w:szCs w:val="30"/>
              </w:rPr>
              <w:t>序号</w:t>
            </w:r>
          </w:p>
        </w:tc>
        <w:tc>
          <w:tcPr>
            <w:tcW w:w="115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0"/>
                <w:szCs w:val="30"/>
              </w:rPr>
            </w:pPr>
            <w:r>
              <w:rPr>
                <w:rFonts w:hint="eastAsia" w:ascii="黑体" w:hAnsi="黑体" w:eastAsia="黑体"/>
                <w:sz w:val="30"/>
                <w:szCs w:val="30"/>
              </w:rPr>
              <w:t>姓名</w:t>
            </w:r>
          </w:p>
        </w:tc>
        <w:tc>
          <w:tcPr>
            <w:tcW w:w="163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0"/>
                <w:szCs w:val="30"/>
              </w:rPr>
            </w:pPr>
            <w:r>
              <w:rPr>
                <w:rFonts w:hint="eastAsia" w:ascii="黑体" w:hAnsi="黑体" w:eastAsia="黑体"/>
                <w:sz w:val="30"/>
                <w:szCs w:val="30"/>
              </w:rPr>
              <w:t>企业名称</w:t>
            </w:r>
          </w:p>
        </w:tc>
        <w:tc>
          <w:tcPr>
            <w:tcW w:w="106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0"/>
                <w:szCs w:val="30"/>
              </w:rPr>
            </w:pPr>
            <w:r>
              <w:rPr>
                <w:rFonts w:hint="eastAsia" w:ascii="黑体" w:hAnsi="黑体" w:eastAsia="黑体"/>
                <w:sz w:val="30"/>
                <w:szCs w:val="30"/>
              </w:rPr>
              <w:t>职务</w:t>
            </w:r>
          </w:p>
        </w:tc>
        <w:tc>
          <w:tcPr>
            <w:tcW w:w="160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0"/>
                <w:szCs w:val="30"/>
                <w:lang w:eastAsia="zh-CN"/>
              </w:rPr>
            </w:pPr>
            <w:r>
              <w:rPr>
                <w:rFonts w:hint="eastAsia" w:ascii="黑体" w:hAnsi="黑体" w:eastAsia="黑体"/>
                <w:sz w:val="30"/>
                <w:szCs w:val="30"/>
                <w:lang w:eastAsia="zh-CN"/>
              </w:rPr>
              <w:t>参会形式</w:t>
            </w:r>
          </w:p>
        </w:tc>
        <w:tc>
          <w:tcPr>
            <w:tcW w:w="184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0"/>
                <w:szCs w:val="30"/>
              </w:rPr>
            </w:pPr>
            <w:r>
              <w:rPr>
                <w:rFonts w:hint="eastAsia" w:ascii="黑体" w:hAnsi="黑体" w:eastAsia="黑体"/>
                <w:sz w:val="30"/>
                <w:szCs w:val="30"/>
              </w:rPr>
              <w:t>电话（手机）</w:t>
            </w:r>
          </w:p>
        </w:tc>
        <w:tc>
          <w:tcPr>
            <w:tcW w:w="1061"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0"/>
                <w:szCs w:val="30"/>
              </w:rPr>
            </w:pPr>
            <w:r>
              <w:rPr>
                <w:rFonts w:hint="eastAsia" w:ascii="黑体" w:hAnsi="黑体" w:eastAsia="黑体"/>
                <w:sz w:val="30"/>
                <w:szCs w:val="30"/>
              </w:rPr>
              <w:t>邮箱</w:t>
            </w:r>
          </w:p>
        </w:tc>
        <w:tc>
          <w:tcPr>
            <w:tcW w:w="1276"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0"/>
                <w:szCs w:val="30"/>
              </w:rPr>
            </w:pPr>
            <w:r>
              <w:rPr>
                <w:rFonts w:hint="eastAsia" w:ascii="黑体" w:hAnsi="黑体" w:eastAsia="黑体"/>
                <w:sz w:val="30"/>
                <w:szCs w:val="30"/>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48"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1</w:t>
            </w:r>
          </w:p>
        </w:tc>
        <w:tc>
          <w:tcPr>
            <w:tcW w:w="115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　</w:t>
            </w:r>
          </w:p>
        </w:tc>
        <w:tc>
          <w:tcPr>
            <w:tcW w:w="163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　</w:t>
            </w:r>
          </w:p>
        </w:tc>
        <w:tc>
          <w:tcPr>
            <w:tcW w:w="106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　</w:t>
            </w:r>
          </w:p>
        </w:tc>
        <w:tc>
          <w:tcPr>
            <w:tcW w:w="160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84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　</w:t>
            </w:r>
          </w:p>
        </w:tc>
        <w:tc>
          <w:tcPr>
            <w:tcW w:w="1061"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u w:val="single"/>
              </w:rPr>
            </w:pPr>
          </w:p>
        </w:tc>
        <w:tc>
          <w:tcPr>
            <w:tcW w:w="1276"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48"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2</w:t>
            </w:r>
          </w:p>
        </w:tc>
        <w:tc>
          <w:tcPr>
            <w:tcW w:w="115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63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06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60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84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061"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u w:val="single"/>
              </w:rPr>
            </w:pPr>
          </w:p>
        </w:tc>
        <w:tc>
          <w:tcPr>
            <w:tcW w:w="1276"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48"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r>
              <w:rPr>
                <w:rFonts w:hint="eastAsia" w:ascii="仿宋_GB2312" w:hAnsi="黑体" w:eastAsia="仿宋_GB2312"/>
                <w:sz w:val="32"/>
                <w:szCs w:val="32"/>
              </w:rPr>
              <w:t>3</w:t>
            </w:r>
          </w:p>
        </w:tc>
        <w:tc>
          <w:tcPr>
            <w:tcW w:w="115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63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06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60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845"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c>
          <w:tcPr>
            <w:tcW w:w="1061"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u w:val="single"/>
              </w:rPr>
            </w:pPr>
          </w:p>
        </w:tc>
        <w:tc>
          <w:tcPr>
            <w:tcW w:w="1276" w:type="dxa"/>
            <w:noWra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黑体" w:eastAsia="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w:altName w:val="永中仿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angSong">
    <w:panose1 w:val="02010609060101010101"/>
    <w:charset w:val="86"/>
    <w:family w:val="auto"/>
    <w:pitch w:val="default"/>
    <w:sig w:usb0="800002BF" w:usb1="38CF7CFA" w:usb2="00000016" w:usb3="00000000" w:csb0="00040001" w:csb1="00000000"/>
  </w:font>
  <w:font w:name="永中仿宋">
    <w:panose1 w:val="02010600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FZXiaoBiaoSong-B05">
    <w:panose1 w:val="02000000000000000000"/>
    <w:charset w:val="86"/>
    <w:family w:val="script"/>
    <w:pitch w:val="default"/>
    <w:sig w:usb0="00000001" w:usb1="08000000" w:usb2="00000000" w:usb3="00000000" w:csb0="00040000" w:csb1="00000000"/>
  </w:font>
  <w:font w:name="SimHei">
    <w:panose1 w:val="02010609060101010101"/>
    <w:charset w:val="86"/>
    <w:family w:val="roman"/>
    <w:pitch w:val="default"/>
    <w:sig w:usb0="800002BF" w:usb1="38CF7CFA" w:usb2="00000016" w:usb3="00000000" w:csb0="00040001" w:csb1="00000000"/>
  </w:font>
  <w:font w:name="FZXiaoBiaoSong-B05S">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A9B52"/>
    <w:multiLevelType w:val="singleLevel"/>
    <w:tmpl w:val="717A9B52"/>
    <w:lvl w:ilvl="0" w:tentative="0">
      <w:start w:val="2"/>
      <w:numFmt w:val="decimal"/>
      <w:lvlText w:val="%1."/>
      <w:lvlJc w:val="left"/>
      <w:pPr>
        <w:tabs>
          <w:tab w:val="left" w:pos="312"/>
        </w:tabs>
        <w:ind w:left="16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D0"/>
    <w:rsid w:val="00017816"/>
    <w:rsid w:val="00130C0D"/>
    <w:rsid w:val="00207EFB"/>
    <w:rsid w:val="007400D0"/>
    <w:rsid w:val="00D700A7"/>
    <w:rsid w:val="357B4B63"/>
    <w:rsid w:val="39FF2604"/>
    <w:rsid w:val="3F3CDEC2"/>
    <w:rsid w:val="3FAC6A11"/>
    <w:rsid w:val="3FB7366E"/>
    <w:rsid w:val="67F6DB7B"/>
    <w:rsid w:val="696B2A96"/>
    <w:rsid w:val="75B7E88B"/>
    <w:rsid w:val="77FDF58E"/>
    <w:rsid w:val="971DF883"/>
    <w:rsid w:val="9DFE208C"/>
    <w:rsid w:val="B31EC0B8"/>
    <w:rsid w:val="BA9BD89F"/>
    <w:rsid w:val="CD23A59C"/>
    <w:rsid w:val="CEDF0E40"/>
    <w:rsid w:val="CFFDF56F"/>
    <w:rsid w:val="D5CB236C"/>
    <w:rsid w:val="D9DE150B"/>
    <w:rsid w:val="DFEFB0C3"/>
    <w:rsid w:val="EC9F1905"/>
    <w:rsid w:val="EEDCF612"/>
    <w:rsid w:val="EFDB3C49"/>
    <w:rsid w:val="EFF7C649"/>
    <w:rsid w:val="F3FDC57A"/>
    <w:rsid w:val="F7E5E1B3"/>
    <w:rsid w:val="FB9F89E7"/>
    <w:rsid w:val="FBF74632"/>
    <w:rsid w:val="FF431AF2"/>
    <w:rsid w:val="FFCFC56E"/>
    <w:rsid w:val="FFFC2ADF"/>
    <w:rsid w:val="FFFF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Arial" w:hAnsi="Arial" w:eastAsia="FZXiaoBiaoSong-B05"/>
      <w:sz w:val="44"/>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3 字符"/>
    <w:basedOn w:val="7"/>
    <w:link w:val="3"/>
    <w:qFormat/>
    <w:uiPriority w:val="9"/>
    <w:rPr>
      <w:rFonts w:ascii="宋体" w:hAnsi="宋体" w:eastAsia="宋体" w:cs="宋体"/>
      <w:b/>
      <w:bCs/>
      <w:kern w:val="0"/>
      <w:sz w:val="27"/>
      <w:szCs w:val="27"/>
    </w:rPr>
  </w:style>
  <w:style w:type="character" w:customStyle="1" w:styleId="10">
    <w:name w:val="Unresolved Mention"/>
    <w:basedOn w:val="7"/>
    <w:semiHidden/>
    <w:unhideWhenUsed/>
    <w:qFormat/>
    <w:uiPriority w:val="99"/>
    <w:rPr>
      <w:color w:val="605E5C"/>
      <w:shd w:val="clear" w:color="auto" w:fill="E1DFDD"/>
    </w:rPr>
  </w:style>
  <w:style w:type="table" w:customStyle="1" w:styleId="11">
    <w:name w:val="网格型1"/>
    <w:basedOn w:val="5"/>
    <w:qFormat/>
    <w:uiPriority w:val="39"/>
    <w:rPr>
      <w:kern w:val="0"/>
      <w:sz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w:basedOn w:val="1"/>
    <w:semiHidden/>
    <w:qFormat/>
    <w:uiPriority w:val="0"/>
    <w:pPr>
      <w:snapToGrid w:val="0"/>
      <w:spacing w:line="520" w:lineRule="exact"/>
    </w:pPr>
    <w:rPr>
      <w:rFonts w:ascii="SimHei" w:hAnsi="Arial" w:eastAsia="SimHei"/>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1279</Characters>
  <Lines>10</Lines>
  <Paragraphs>2</Paragraphs>
  <TotalTime>24</TotalTime>
  <ScaleCrop>false</ScaleCrop>
  <LinksUpToDate>false</LinksUpToDate>
  <CharactersWithSpaces>1501</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2022-04-23T04:24:00Z</dcterms:created>
  <dc:creator>L QY</dc:creator>
  <cp:lastModifiedBy>user</cp:lastModifiedBy>
  <cp:lastPrinted>2022-09-16T14:35:30Z</cp:lastPrinted>
  <dcterms:modified xsi:type="dcterms:W3CDTF">2022-09-16T14:44:58Z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