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bookmarkStart w:id="0" w:name="_GoBack"/>
      <w:bookmarkEnd w:id="0"/>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eastAsia="方正小标宋简体" w:cs="方正小标宋简体"/>
          <w:bCs/>
          <w:color w:val="auto"/>
          <w:sz w:val="44"/>
          <w:szCs w:val="44"/>
          <w:highlight w:val="none"/>
          <w:lang w:eastAsia="zh-CN" w:bidi="ar-SA"/>
        </w:rPr>
      </w:pPr>
      <w:r>
        <w:rPr>
          <w:rFonts w:hint="eastAsia" w:ascii="方正小标宋简体" w:hAnsi="方正小标宋简体" w:eastAsia="方正小标宋简体" w:cs="方正小标宋简体"/>
          <w:bCs/>
          <w:sz w:val="44"/>
          <w:szCs w:val="44"/>
        </w:rPr>
        <w:t>中国（四川）-RCEP（越南）国际贸易投资合作大会综合服务</w:t>
      </w:r>
      <w:r>
        <w:rPr>
          <w:rFonts w:hint="eastAsia" w:ascii="方正小标宋简体" w:hAnsi="方正小标宋简体" w:eastAsia="方正小标宋简体" w:cs="方正小标宋简体"/>
          <w:sz w:val="44"/>
          <w:szCs w:val="44"/>
        </w:rPr>
        <w:t>采购</w:t>
      </w:r>
      <w:r>
        <w:rPr>
          <w:rFonts w:hint="eastAsia" w:ascii="方正小标宋简体" w:hAnsi="方正小标宋简体" w:eastAsia="方正小标宋简体" w:cs="方正小标宋简体"/>
          <w:bCs/>
          <w:sz w:val="44"/>
          <w:szCs w:val="44"/>
        </w:rPr>
        <w:t>项目</w:t>
      </w:r>
    </w:p>
    <w:p>
      <w:pPr>
        <w:spacing w:line="360" w:lineRule="auto"/>
        <w:jc w:val="center"/>
        <w:rPr>
          <w:rFonts w:hint="eastAsia" w:ascii="仿宋" w:eastAsia="仿宋" w:cs="仿宋"/>
          <w:color w:val="auto"/>
          <w:kern w:val="0"/>
          <w:sz w:val="48"/>
          <w:szCs w:val="48"/>
          <w:highlight w:val="none"/>
          <w:lang w:val="zh-TW" w:eastAsia="zh-TW" w:bidi="ar-SA"/>
        </w:rPr>
      </w:pPr>
    </w:p>
    <w:p>
      <w:pPr>
        <w:pStyle w:val="7"/>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7"/>
        <w:rPr>
          <w:rFonts w:hint="eastAsia" w:ascii="仿宋" w:eastAsia="仿宋" w:cs="仿宋"/>
          <w:color w:val="auto"/>
          <w:kern w:val="0"/>
          <w:sz w:val="32"/>
          <w:szCs w:val="32"/>
          <w:highlight w:val="none"/>
          <w:lang w:val="zh-TW" w:eastAsia="zh-TW" w:bidi="ar-SA"/>
        </w:rPr>
      </w:pPr>
    </w:p>
    <w:p>
      <w:pPr>
        <w:pStyle w:val="7"/>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eastAsia="仿宋" w:cs="仿宋"/>
          <w:b/>
          <w:bCs/>
          <w:color w:val="auto"/>
          <w:kern w:val="0"/>
          <w:sz w:val="36"/>
          <w:szCs w:val="36"/>
          <w:highlight w:val="none"/>
          <w:lang w:val="zh-TW" w:eastAsia="zh-TW" w:bidi="ar-SA"/>
        </w:rPr>
        <w:t>中国国际贸易促进委员会四川省委员会</w:t>
      </w:r>
    </w:p>
    <w:p>
      <w:pPr>
        <w:spacing w:line="360" w:lineRule="auto"/>
        <w:jc w:val="center"/>
        <w:rPr>
          <w:rFonts w:hint="eastAsia" w:ascii="仿宋" w:eastAsia="仿宋" w:cs="仿宋"/>
          <w:color w:val="auto"/>
          <w:kern w:val="0"/>
          <w:sz w:val="36"/>
          <w:szCs w:val="36"/>
          <w:highlight w:val="none"/>
          <w:lang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月</w:t>
      </w:r>
    </w:p>
    <w:p>
      <w:pPr>
        <w:keepNext w:val="0"/>
        <w:keepLines w:val="0"/>
        <w:pageBreakBefore w:val="0"/>
        <w:widowControl w:val="0"/>
        <w:suppressAutoHyphens/>
        <w:kinsoku/>
        <w:wordWrap/>
        <w:overflowPunct/>
        <w:topLinePunct w:val="0"/>
        <w:autoSpaceDE/>
        <w:autoSpaceDN/>
        <w:adjustRightInd/>
        <w:snapToGrid/>
        <w:spacing w:line="540" w:lineRule="exact"/>
        <w:ind w:firstLine="420" w:firstLineChars="200"/>
        <w:rPr>
          <w:rFonts w:hint="eastAsia" w:ascii="仿宋_GB2312" w:eastAsia="仿宋_GB2312" w:cs="仿宋_GB2312"/>
          <w:b/>
          <w:bCs/>
          <w:color w:val="auto"/>
          <w:sz w:val="32"/>
          <w:szCs w:val="32"/>
          <w:highlight w:val="none"/>
          <w:lang w:bidi="ar-SA"/>
        </w:rPr>
      </w:pPr>
      <w:r>
        <w:rPr>
          <w:rFonts w:ascii="Arial Unicode MS" w:hAnsi="Arial Unicode MS" w:eastAsia="Arial Unicode MS" w:cs="Arial Unicode MS"/>
          <w:color w:val="auto"/>
          <w:highlight w:val="none"/>
          <w:lang w:bidi="ar-SA"/>
        </w:rPr>
        <w:br w:type="page"/>
      </w:r>
      <w:r>
        <w:rPr>
          <w:rFonts w:hint="eastAsia" w:ascii="仿宋_GB2312" w:eastAsia="仿宋_GB2312" w:cs="仿宋_GB2312"/>
          <w:color w:val="auto"/>
          <w:sz w:val="32"/>
          <w:szCs w:val="32"/>
          <w:highlight w:val="none"/>
          <w:lang w:val="zh-TW" w:eastAsia="zh-TW" w:bidi="ar-SA"/>
        </w:rPr>
        <w:t>中国国际贸易促进委员会四川省委员会作为采购人诚邀符合条件的供应商参加</w:t>
      </w:r>
      <w:r>
        <w:rPr>
          <w:rFonts w:hint="eastAsia" w:ascii="仿宋_GB2312" w:eastAsia="仿宋_GB2312" w:cs="仿宋_GB2312"/>
          <w:color w:val="auto"/>
          <w:sz w:val="32"/>
          <w:szCs w:val="32"/>
          <w:highlight w:val="none"/>
          <w:lang w:val="zh-TW" w:eastAsia="zh-CN" w:bidi="ar-SA"/>
        </w:rPr>
        <w:t>我会</w:t>
      </w:r>
      <w:r>
        <w:rPr>
          <w:rFonts w:hint="eastAsia" w:ascii="仿宋_GB2312" w:hAnsi="仿宋_GB2312" w:eastAsia="仿宋_GB2312" w:cs="仿宋_GB2312"/>
          <w:sz w:val="32"/>
          <w:szCs w:val="32"/>
        </w:rPr>
        <w:t>中国（四川）-RCEP（越南）国际贸易投资合作大会</w:t>
      </w:r>
      <w:r>
        <w:rPr>
          <w:rFonts w:hint="eastAsia" w:eastAsia="仿宋_GB2312"/>
          <w:sz w:val="32"/>
          <w:szCs w:val="32"/>
        </w:rPr>
        <w:t>综合服务</w:t>
      </w:r>
      <w:r>
        <w:rPr>
          <w:rFonts w:hint="eastAsia" w:ascii="仿宋_GB2312" w:eastAsia="仿宋_GB2312" w:cs="仿宋_GB2312"/>
          <w:color w:val="auto"/>
          <w:sz w:val="32"/>
          <w:szCs w:val="32"/>
          <w:highlight w:val="none"/>
          <w:lang w:val="zh-TW" w:eastAsia="zh-CN" w:bidi="ar-SA"/>
        </w:rPr>
        <w:t>采购项目</w:t>
      </w:r>
      <w:r>
        <w:rPr>
          <w:rFonts w:hint="eastAsia" w:ascii="仿宋_GB2312" w:eastAsia="仿宋_GB2312" w:cs="仿宋_GB2312"/>
          <w:color w:val="auto"/>
          <w:sz w:val="32"/>
          <w:szCs w:val="32"/>
          <w:highlight w:val="none"/>
          <w:lang w:bidi="ar-SA"/>
        </w:rPr>
        <w:t>。</w:t>
      </w:r>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pStyle w:val="7"/>
        <w:ind w:firstLine="640" w:firstLineChars="200"/>
        <w:rPr>
          <w:rFonts w:hint="eastAsia" w:ascii="仿宋_GB2312" w:eastAsia="仿宋_GB2312" w:cs="仿宋_GB2312"/>
          <w:color w:val="auto"/>
          <w:sz w:val="32"/>
          <w:szCs w:val="32"/>
          <w:highlight w:val="none"/>
          <w:lang w:bidi="ar-SA"/>
        </w:rPr>
      </w:pPr>
      <w:r>
        <w:rPr>
          <w:rFonts w:hint="eastAsia" w:ascii="仿宋_GB2312" w:hAnsi="仿宋_GB2312" w:eastAsia="仿宋_GB2312" w:cs="仿宋_GB2312"/>
          <w:sz w:val="32"/>
          <w:szCs w:val="32"/>
        </w:rPr>
        <w:t>中国（四川）-RCEP（越南）国际贸易投资合作大会</w:t>
      </w:r>
      <w:r>
        <w:rPr>
          <w:rFonts w:hint="eastAsia" w:eastAsia="仿宋_GB2312"/>
          <w:sz w:val="32"/>
          <w:szCs w:val="32"/>
        </w:rPr>
        <w:t>综合服务</w:t>
      </w:r>
      <w:r>
        <w:rPr>
          <w:rFonts w:hint="eastAsia" w:ascii="仿宋_GB2312" w:eastAsia="仿宋_GB2312" w:cs="仿宋_GB2312"/>
          <w:color w:val="auto"/>
          <w:sz w:val="32"/>
          <w:szCs w:val="32"/>
          <w:highlight w:val="none"/>
          <w:lang w:val="zh-TW" w:eastAsia="zh-CN" w:bidi="ar-SA"/>
        </w:rPr>
        <w:t>采购项目</w:t>
      </w:r>
      <w:r>
        <w:rPr>
          <w:rFonts w:hint="eastAsia" w:ascii="仿宋_GB2312" w:eastAsia="仿宋_GB2312" w:cs="仿宋_GB2312"/>
          <w:color w:val="auto"/>
          <w:sz w:val="32"/>
          <w:szCs w:val="32"/>
          <w:highlight w:val="none"/>
          <w:lang w:bidi="ar-SA"/>
        </w:rPr>
        <w:t>。</w:t>
      </w:r>
    </w:p>
    <w:p>
      <w:pPr>
        <w:pStyle w:val="7"/>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7"/>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20</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21</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2</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12</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胡懿丹</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17</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bidi="ar-SA"/>
        </w:rPr>
        <w:t>huyidan@ccpit-sichuan.org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righ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2023年3月13日</w:t>
      </w:r>
    </w:p>
    <w:p>
      <w:pPr>
        <w:pStyle w:val="7"/>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7"/>
        <w:rPr>
          <w:rFonts w:hint="eastAsia"/>
          <w:color w:val="auto"/>
          <w:highlight w:val="none"/>
        </w:rPr>
      </w:pPr>
    </w:p>
    <w:tbl>
      <w:tblPr>
        <w:tblStyle w:val="11"/>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pStyle w:val="7"/>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w:t>
            </w:r>
            <w:r>
              <w:rPr>
                <w:rFonts w:hint="eastAsia" w:ascii="仿宋_GB2312" w:hAnsi="仿宋_GB2312" w:eastAsia="仿宋_GB2312" w:cs="仿宋_GB2312"/>
                <w:sz w:val="32"/>
                <w:szCs w:val="32"/>
              </w:rPr>
              <w:t>中国（四川）-RCEP（越南）国际贸易投资合作大会</w:t>
            </w:r>
            <w:r>
              <w:rPr>
                <w:rFonts w:hint="eastAsia" w:eastAsia="仿宋_GB2312"/>
                <w:sz w:val="32"/>
                <w:szCs w:val="32"/>
              </w:rPr>
              <w:t>综合服务</w:t>
            </w:r>
            <w:r>
              <w:rPr>
                <w:rFonts w:hint="eastAsia" w:ascii="仿宋_GB2312" w:eastAsia="仿宋_GB2312" w:cs="仿宋_GB2312"/>
                <w:color w:val="auto"/>
                <w:sz w:val="32"/>
                <w:szCs w:val="32"/>
                <w:highlight w:val="none"/>
                <w:lang w:val="zh-TW" w:eastAsia="zh-CN" w:bidi="ar-SA"/>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7"/>
              <w:rPr>
                <w:color w:val="auto"/>
                <w:highlight w:val="none"/>
              </w:rPr>
            </w:pPr>
          </w:p>
          <w:p>
            <w:pPr>
              <w:rPr>
                <w:color w:val="auto"/>
                <w:highlight w:val="none"/>
              </w:rPr>
            </w:pPr>
          </w:p>
          <w:p>
            <w:pPr>
              <w:pStyle w:val="7"/>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pStyle w:val="7"/>
              <w:ind w:firstLine="600" w:firstLineChars="200"/>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w:t>
            </w:r>
            <w:r>
              <w:rPr>
                <w:rFonts w:hint="eastAsia" w:ascii="仿宋_GB2312" w:hAnsi="仿宋_GB2312" w:eastAsia="仿宋_GB2312" w:cs="仿宋_GB2312"/>
                <w:sz w:val="32"/>
                <w:szCs w:val="32"/>
              </w:rPr>
              <w:t>中国（四川）-RCEP（越南）国际贸易投资合作大会</w:t>
            </w:r>
            <w:r>
              <w:rPr>
                <w:rFonts w:hint="eastAsia" w:eastAsia="仿宋_GB2312"/>
                <w:sz w:val="32"/>
                <w:szCs w:val="32"/>
              </w:rPr>
              <w:t>综合服务</w:t>
            </w:r>
            <w:r>
              <w:rPr>
                <w:rFonts w:hint="eastAsia" w:ascii="仿宋_GB2312" w:eastAsia="仿宋_GB2312" w:cs="仿宋_GB2312"/>
                <w:color w:val="auto"/>
                <w:sz w:val="32"/>
                <w:szCs w:val="32"/>
                <w:highlight w:val="none"/>
                <w:lang w:val="zh-TW" w:eastAsia="zh-CN" w:bidi="ar-SA"/>
              </w:rPr>
              <w:t>采购项目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7"/>
              <w:rPr>
                <w:color w:val="auto"/>
                <w:highlight w:val="none"/>
              </w:rPr>
            </w:pPr>
          </w:p>
          <w:p>
            <w:pPr>
              <w:rPr>
                <w:color w:val="auto"/>
                <w:highlight w:val="none"/>
              </w:rPr>
            </w:pPr>
          </w:p>
          <w:p>
            <w:pPr>
              <w:pStyle w:val="7"/>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万元</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5"/>
          <w:rFonts w:hint="eastAsia" w:ascii="仿宋_GB2312" w:eastAsia="仿宋_GB2312" w:cs="仿宋_GB2312"/>
          <w:color w:val="auto"/>
          <w:sz w:val="32"/>
          <w:szCs w:val="32"/>
          <w:highlight w:val="none"/>
          <w:lang w:bidi="ar-SA"/>
        </w:rPr>
      </w:pPr>
      <w:r>
        <w:rPr>
          <w:rStyle w:val="15"/>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7"/>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1.时间：20</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上午09：00-12：00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2.地点：</w:t>
      </w:r>
      <w:r>
        <w:rPr>
          <w:rFonts w:ascii="仿宋_GB2312" w:hAnsi="仿宋_GB2312" w:eastAsia="仿宋_GB2312" w:cs="仿宋_GB2312"/>
          <w:sz w:val="32"/>
          <w:szCs w:val="32"/>
        </w:rPr>
        <w:t>越南河内。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3.经费预算：不超过16万元。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4.内容：</w:t>
      </w:r>
    </w:p>
    <w:p>
      <w:pPr>
        <w:spacing w:line="560" w:lineRule="exact"/>
        <w:ind w:firstLine="642" w:firstLineChars="200"/>
        <w:rPr>
          <w:rFonts w:ascii="仿宋_GB2312" w:hAnsi="仿宋_GB2312" w:eastAsia="仿宋_GB2312" w:cs="仿宋_GB2312"/>
          <w:b/>
          <w:bCs/>
          <w:sz w:val="32"/>
          <w:szCs w:val="32"/>
        </w:rPr>
      </w:pPr>
      <w:r>
        <w:rPr>
          <w:rFonts w:hint="eastAsia" w:ascii="东文宋体" w:hAnsi="东文宋体" w:eastAsia="东文宋体" w:cs="东文宋体"/>
          <w:b/>
          <w:bCs/>
          <w:sz w:val="32"/>
          <w:szCs w:val="32"/>
        </w:rPr>
        <w:t>（1）</w:t>
      </w:r>
      <w:r>
        <w:rPr>
          <w:rFonts w:hint="eastAsia" w:ascii="仿宋_GB2312" w:hAnsi="仿宋_GB2312" w:eastAsia="仿宋_GB2312" w:cs="仿宋_GB2312"/>
          <w:b/>
          <w:bCs/>
          <w:sz w:val="32"/>
          <w:szCs w:val="32"/>
        </w:rPr>
        <w:t>会场</w:t>
      </w:r>
      <w:r>
        <w:rPr>
          <w:rFonts w:ascii="仿宋_GB2312" w:hAnsi="仿宋_GB2312" w:eastAsia="仿宋_GB2312" w:cs="仿宋_GB2312"/>
          <w:b/>
          <w:bCs/>
          <w:sz w:val="32"/>
          <w:szCs w:val="32"/>
        </w:rPr>
        <w:t>租赁及落实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负责落实会议场地（120-150人规模的会场1处，20-30人规模的VIP休息室1处）和会场服务。</w:t>
      </w:r>
    </w:p>
    <w:p>
      <w:pPr>
        <w:spacing w:line="560" w:lineRule="exact"/>
        <w:ind w:firstLine="642" w:firstLineChars="200"/>
        <w:rPr>
          <w:rFonts w:ascii="仿宋_GB2312" w:hAnsi="仿宋_GB2312" w:eastAsia="仿宋_GB2312" w:cs="仿宋_GB2312"/>
          <w:b/>
          <w:bCs/>
          <w:sz w:val="32"/>
          <w:szCs w:val="32"/>
        </w:rPr>
      </w:pPr>
      <w:r>
        <w:rPr>
          <w:rFonts w:hint="eastAsia" w:ascii="东文宋体" w:hAnsi="东文宋体" w:eastAsia="东文宋体" w:cs="东文宋体"/>
          <w:b/>
          <w:bCs/>
          <w:sz w:val="32"/>
          <w:szCs w:val="32"/>
        </w:rPr>
        <w:t>（2）</w:t>
      </w:r>
      <w:r>
        <w:rPr>
          <w:rFonts w:ascii="仿宋_GB2312" w:hAnsi="仿宋_GB2312" w:eastAsia="仿宋_GB2312" w:cs="仿宋_GB2312"/>
          <w:b/>
          <w:bCs/>
          <w:sz w:val="32"/>
          <w:szCs w:val="32"/>
        </w:rPr>
        <w:t>越</w:t>
      </w:r>
      <w:r>
        <w:rPr>
          <w:rFonts w:hint="eastAsia" w:ascii="仿宋_GB2312" w:hAnsi="仿宋_GB2312" w:eastAsia="仿宋_GB2312" w:cs="仿宋_GB2312"/>
          <w:b/>
          <w:bCs/>
          <w:sz w:val="32"/>
          <w:szCs w:val="32"/>
        </w:rPr>
        <w:t>方嘉宾与企业代表邀请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负责邀请越南相关职能机构、贸易投资促进机构领导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国家工商会和行业商（协）会负责人、进出口企业负责人、中资机构负责人等不低于15人；对口洽谈企业及代表邀请不低于35家企业约50人。</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（3）会场</w:t>
      </w:r>
      <w:r>
        <w:rPr>
          <w:rFonts w:ascii="仿宋_GB2312" w:hAnsi="仿宋_GB2312" w:eastAsia="仿宋_GB2312" w:cs="仿宋_GB2312"/>
          <w:b/>
          <w:bCs/>
          <w:sz w:val="32"/>
          <w:szCs w:val="32"/>
        </w:rPr>
        <w:t>设计</w:t>
      </w:r>
      <w:r>
        <w:rPr>
          <w:rFonts w:hint="eastAsia" w:ascii="仿宋_GB2312" w:hAnsi="仿宋_GB2312" w:eastAsia="仿宋_GB2312" w:cs="仿宋_GB2312"/>
          <w:b/>
          <w:bCs/>
          <w:sz w:val="32"/>
          <w:szCs w:val="32"/>
        </w:rPr>
        <w:t>布置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场布置：舞台搭建，LED屏及控制设备1套及服务（尺寸根据会场具体规模确认），灯光音响及控制设备1套及服务，同传翻译2名、同传设备1套及同传耳机120副、企业洽谈交传翻译20名（越南语、中文），会场氛围（包括签到处看板、会议议程看板、大会形象看板等）布置等。</w:t>
      </w:r>
    </w:p>
    <w:p>
      <w:p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w:t>
      </w:r>
      <w:r>
        <w:rPr>
          <w:rFonts w:ascii="仿宋_GB2312" w:hAnsi="仿宋_GB2312" w:eastAsia="仿宋_GB2312" w:cs="仿宋_GB2312"/>
          <w:b/>
          <w:bCs/>
          <w:sz w:val="32"/>
          <w:szCs w:val="32"/>
        </w:rPr>
        <w:t>会议全流程执行</w:t>
      </w:r>
    </w:p>
    <w:p>
      <w:pPr>
        <w:pStyle w:val="2"/>
        <w:ind w:firstLine="643"/>
        <w:rPr>
          <w:rFonts w:hint="eastAsia" w:ascii="黑体" w:eastAsia="黑体" w:cs="Times New Roman"/>
          <w:color w:val="auto"/>
          <w:sz w:val="32"/>
          <w:szCs w:val="32"/>
          <w:highlight w:val="none"/>
        </w:rPr>
      </w:pPr>
      <w:r>
        <w:rPr>
          <w:rFonts w:hint="eastAsia" w:ascii="仿宋_GB2312" w:hAnsi="仿宋_GB2312" w:eastAsia="仿宋_GB2312" w:cs="仿宋_GB2312"/>
          <w:b/>
          <w:bCs/>
          <w:sz w:val="32"/>
          <w:szCs w:val="32"/>
        </w:rPr>
        <w:t>（5）越南当地媒体宣传</w:t>
      </w:r>
    </w:p>
    <w:p>
      <w:pPr>
        <w:pStyle w:val="7"/>
        <w:ind w:firstLine="640" w:firstLineChars="200"/>
        <w:rPr>
          <w:rFonts w:hint="eastAsia" w:ascii="仿宋_GB2312" w:eastAsia="黑体" w:cs="Times New Roman"/>
          <w:sz w:val="32"/>
          <w:szCs w:val="32"/>
          <w:lang w:eastAsia="zh-CN" w:bidi="ar-SA"/>
        </w:rPr>
      </w:pPr>
      <w:r>
        <w:rPr>
          <w:rFonts w:hint="eastAsia" w:ascii="黑体" w:eastAsia="黑体" w:cs="Times New Roman"/>
          <w:color w:val="auto"/>
          <w:sz w:val="32"/>
          <w:szCs w:val="32"/>
          <w:highlight w:val="none"/>
        </w:rPr>
        <w:t>五</w:t>
      </w:r>
      <w:r>
        <w:rPr>
          <w:rFonts w:hint="eastAsia" w:ascii="黑体" w:eastAsia="黑体" w:cs="Times New Roman"/>
          <w:color w:val="auto"/>
          <w:sz w:val="32"/>
          <w:szCs w:val="32"/>
          <w:highlight w:val="none"/>
          <w:lang w:eastAsia="zh-CN"/>
        </w:rPr>
        <w:t>、</w:t>
      </w:r>
      <w:r>
        <w:rPr>
          <w:rFonts w:hint="eastAsia" w:ascii="黑体" w:eastAsia="黑体" w:cs="Times New Roman"/>
          <w:color w:val="auto"/>
          <w:sz w:val="32"/>
          <w:szCs w:val="32"/>
          <w:highlight w:val="none"/>
        </w:rPr>
        <w:t>其他</w:t>
      </w:r>
      <w:r>
        <w:rPr>
          <w:rFonts w:hint="eastAsia" w:ascii="黑体" w:eastAsia="黑体" w:cs="Times New Roman"/>
          <w:color w:val="auto"/>
          <w:sz w:val="32"/>
          <w:szCs w:val="32"/>
          <w:highlight w:val="none"/>
          <w:lang w:eastAsia="zh-CN"/>
        </w:rPr>
        <w:t>要求</w:t>
      </w:r>
    </w:p>
    <w:p>
      <w:pPr>
        <w:pStyle w:val="7"/>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如</w:t>
      </w:r>
      <w:r>
        <w:rPr>
          <w:rFonts w:ascii="仿宋_GB2312" w:eastAsia="仿宋_GB2312"/>
          <w:sz w:val="32"/>
          <w:szCs w:val="32"/>
        </w:rPr>
        <w:t>活动</w:t>
      </w:r>
      <w:r>
        <w:rPr>
          <w:rFonts w:hint="eastAsia" w:ascii="仿宋_GB2312" w:eastAsia="仿宋_GB2312"/>
          <w:sz w:val="32"/>
          <w:szCs w:val="32"/>
        </w:rPr>
        <w:t>时间有调整，服务时间顺势</w:t>
      </w:r>
      <w:r>
        <w:rPr>
          <w:rFonts w:ascii="仿宋_GB2312" w:eastAsia="仿宋_GB2312"/>
          <w:sz w:val="32"/>
          <w:szCs w:val="32"/>
        </w:rPr>
        <w:t>调整</w:t>
      </w:r>
      <w:r>
        <w:rPr>
          <w:rFonts w:hint="eastAsia" w:ascii="仿宋_GB2312" w:eastAsia="仿宋_GB2312"/>
          <w:sz w:val="32"/>
          <w:szCs w:val="32"/>
        </w:rPr>
        <w:t>。</w:t>
      </w:r>
    </w:p>
    <w:p>
      <w:pPr>
        <w:pStyle w:val="7"/>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2、请按采购内容分项报价，需报明细价。</w:t>
      </w:r>
    </w:p>
    <w:p>
      <w:pPr>
        <w:pStyle w:val="7"/>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rPr>
        <w:t>六、验收方法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验收小组通过邀请的嘉宾</w:t>
      </w:r>
      <w:r>
        <w:rPr>
          <w:rFonts w:ascii="仿宋_GB2312" w:eastAsia="仿宋_GB2312"/>
          <w:sz w:val="32"/>
          <w:szCs w:val="32"/>
        </w:rPr>
        <w:t>和企业代表</w:t>
      </w:r>
      <w:r>
        <w:rPr>
          <w:rFonts w:hint="eastAsia" w:ascii="仿宋_GB2312" w:eastAsia="仿宋_GB2312"/>
          <w:sz w:val="32"/>
          <w:szCs w:val="32"/>
        </w:rPr>
        <w:t>数量、会议整体流程设计和服务、</w:t>
      </w:r>
      <w:r>
        <w:rPr>
          <w:rFonts w:ascii="仿宋_GB2312" w:eastAsia="仿宋_GB2312"/>
          <w:sz w:val="32"/>
          <w:szCs w:val="32"/>
        </w:rPr>
        <w:t>会议现场布置</w:t>
      </w:r>
      <w:r>
        <w:rPr>
          <w:rFonts w:hint="eastAsia" w:ascii="仿宋_GB2312" w:eastAsia="仿宋_GB2312"/>
          <w:sz w:val="32"/>
          <w:szCs w:val="32"/>
        </w:rPr>
        <w:t>等进行评估验收，并形成验收报告。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7"/>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7"/>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1"/>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00"/>
        <w:gridCol w:w="1200"/>
        <w:gridCol w:w="557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8" w:hRule="atLeast"/>
          <w:jc w:val="center"/>
        </w:trPr>
        <w:tc>
          <w:tcPr>
            <w:tcW w:w="675" w:type="dxa"/>
            <w:noWrap w:val="0"/>
            <w:vAlign w:val="bottom"/>
          </w:tcPr>
          <w:p>
            <w:pPr>
              <w:snapToGrid w:val="0"/>
              <w:spacing w:line="400" w:lineRule="exact"/>
              <w:jc w:val="center"/>
              <w:rPr>
                <w:rFonts w:ascii="黑体" w:hAnsi="黑体" w:eastAsia="黑体" w:cs="宋体"/>
                <w:snapToGrid w:val="0"/>
                <w:szCs w:val="21"/>
              </w:rPr>
            </w:pPr>
            <w:r>
              <w:rPr>
                <w:rFonts w:hint="eastAsia" w:ascii="黑体" w:hAnsi="黑体" w:eastAsia="黑体" w:cs="宋体"/>
                <w:snapToGrid w:val="0"/>
                <w:szCs w:val="21"/>
              </w:rPr>
              <w:t>序号</w:t>
            </w:r>
          </w:p>
        </w:tc>
        <w:tc>
          <w:tcPr>
            <w:tcW w:w="1100" w:type="dxa"/>
            <w:noWrap w:val="0"/>
            <w:vAlign w:val="bottom"/>
          </w:tcPr>
          <w:p>
            <w:pPr>
              <w:snapToGrid w:val="0"/>
              <w:spacing w:line="400" w:lineRule="exact"/>
              <w:jc w:val="center"/>
              <w:rPr>
                <w:rFonts w:ascii="黑体" w:hAnsi="黑体" w:eastAsia="黑体" w:cs="宋体"/>
                <w:snapToGrid w:val="0"/>
                <w:szCs w:val="21"/>
              </w:rPr>
            </w:pPr>
            <w:r>
              <w:rPr>
                <w:rFonts w:hint="eastAsia" w:ascii="黑体" w:hAnsi="黑体" w:eastAsia="黑体" w:cs="宋体"/>
                <w:snapToGrid w:val="0"/>
                <w:szCs w:val="21"/>
              </w:rPr>
              <w:t>评分因素</w:t>
            </w:r>
          </w:p>
        </w:tc>
        <w:tc>
          <w:tcPr>
            <w:tcW w:w="1200" w:type="dxa"/>
            <w:noWrap w:val="0"/>
            <w:vAlign w:val="bottom"/>
          </w:tcPr>
          <w:p>
            <w:pPr>
              <w:snapToGrid w:val="0"/>
              <w:spacing w:line="400" w:lineRule="exact"/>
              <w:jc w:val="center"/>
              <w:rPr>
                <w:rFonts w:ascii="黑体" w:hAnsi="黑体" w:eastAsia="黑体" w:cs="宋体"/>
                <w:snapToGrid w:val="0"/>
                <w:szCs w:val="21"/>
              </w:rPr>
            </w:pPr>
            <w:r>
              <w:rPr>
                <w:rFonts w:hint="eastAsia" w:ascii="黑体" w:hAnsi="黑体" w:eastAsia="黑体" w:cs="宋体"/>
                <w:snapToGrid w:val="0"/>
                <w:szCs w:val="21"/>
              </w:rPr>
              <w:t>分值权重</w:t>
            </w:r>
          </w:p>
        </w:tc>
        <w:tc>
          <w:tcPr>
            <w:tcW w:w="5572" w:type="dxa"/>
            <w:noWrap w:val="0"/>
            <w:vAlign w:val="bottom"/>
          </w:tcPr>
          <w:p>
            <w:pPr>
              <w:snapToGrid w:val="0"/>
              <w:spacing w:line="400" w:lineRule="exact"/>
              <w:jc w:val="center"/>
              <w:rPr>
                <w:rFonts w:ascii="黑体" w:hAnsi="黑体" w:eastAsia="黑体" w:cs="宋体"/>
                <w:snapToGrid w:val="0"/>
                <w:szCs w:val="21"/>
              </w:rPr>
            </w:pPr>
            <w:r>
              <w:rPr>
                <w:rFonts w:hint="eastAsia" w:ascii="黑体" w:hAnsi="黑体" w:eastAsia="黑体" w:cs="宋体"/>
                <w:snapToGrid w:val="0"/>
                <w:szCs w:val="21"/>
              </w:rPr>
              <w:t>评分依据</w:t>
            </w:r>
          </w:p>
        </w:tc>
        <w:tc>
          <w:tcPr>
            <w:tcW w:w="1317" w:type="dxa"/>
            <w:noWrap w:val="0"/>
            <w:vAlign w:val="bottom"/>
          </w:tcPr>
          <w:p>
            <w:pPr>
              <w:snapToGrid w:val="0"/>
              <w:spacing w:line="400" w:lineRule="exact"/>
              <w:jc w:val="center"/>
              <w:rPr>
                <w:rFonts w:ascii="黑体" w:hAnsi="黑体" w:eastAsia="黑体" w:cs="宋体"/>
                <w:snapToGrid w:val="0"/>
                <w:szCs w:val="21"/>
              </w:rPr>
            </w:pPr>
            <w:r>
              <w:rPr>
                <w:rFonts w:hint="eastAsia" w:ascii="黑体" w:hAnsi="黑体" w:eastAsia="黑体" w:cs="宋体"/>
                <w:snapToGrid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0" w:hRule="atLeast"/>
          <w:jc w:val="center"/>
        </w:trPr>
        <w:tc>
          <w:tcPr>
            <w:tcW w:w="675" w:type="dxa"/>
            <w:noWrap w:val="0"/>
            <w:vAlign w:val="center"/>
          </w:tcPr>
          <w:p>
            <w:pPr>
              <w:snapToGrid w:val="0"/>
              <w:spacing w:line="400" w:lineRule="exact"/>
              <w:jc w:val="center"/>
              <w:rPr>
                <w:rFonts w:ascii="宋体" w:hAnsi="宋体" w:cs="宋体"/>
                <w:snapToGrid w:val="0"/>
                <w:szCs w:val="21"/>
              </w:rPr>
            </w:pPr>
            <w:r>
              <w:rPr>
                <w:rFonts w:hint="eastAsia" w:ascii="宋体" w:hAnsi="宋体" w:cs="宋体"/>
                <w:snapToGrid w:val="0"/>
                <w:szCs w:val="21"/>
              </w:rPr>
              <w:t>1</w:t>
            </w:r>
          </w:p>
        </w:tc>
        <w:tc>
          <w:tcPr>
            <w:tcW w:w="1100" w:type="dxa"/>
            <w:noWrap w:val="0"/>
            <w:vAlign w:val="center"/>
          </w:tcPr>
          <w:p>
            <w:pPr>
              <w:spacing w:line="400" w:lineRule="exact"/>
              <w:jc w:val="center"/>
              <w:rPr>
                <w:rFonts w:ascii="宋体" w:hAnsi="宋体" w:cs="宋体"/>
                <w:szCs w:val="21"/>
              </w:rPr>
            </w:pPr>
            <w:r>
              <w:rPr>
                <w:rFonts w:hint="eastAsia" w:ascii="宋体" w:hAnsi="宋体" w:cs="宋体"/>
                <w:szCs w:val="21"/>
              </w:rPr>
              <w:t>报价</w:t>
            </w:r>
          </w:p>
        </w:tc>
        <w:tc>
          <w:tcPr>
            <w:tcW w:w="1200" w:type="dxa"/>
            <w:noWrap w:val="0"/>
            <w:vAlign w:val="center"/>
          </w:tcPr>
          <w:p>
            <w:pPr>
              <w:spacing w:line="400" w:lineRule="exact"/>
              <w:jc w:val="center"/>
              <w:rPr>
                <w:rFonts w:ascii="宋体" w:hAnsi="宋体" w:cs="宋体"/>
                <w:szCs w:val="21"/>
              </w:rPr>
            </w:pPr>
            <w:r>
              <w:rPr>
                <w:rFonts w:hint="eastAsia" w:ascii="宋体" w:hAnsi="宋体" w:cs="宋体"/>
                <w:szCs w:val="21"/>
              </w:rPr>
              <w:t>20</w:t>
            </w:r>
          </w:p>
        </w:tc>
        <w:tc>
          <w:tcPr>
            <w:tcW w:w="5572" w:type="dxa"/>
            <w:noWrap w:val="0"/>
            <w:vAlign w:val="center"/>
          </w:tcPr>
          <w:p>
            <w:pPr>
              <w:snapToGrid w:val="0"/>
              <w:spacing w:line="400" w:lineRule="exact"/>
              <w:rPr>
                <w:rFonts w:ascii="宋体" w:hAnsi="宋体" w:cs="宋体"/>
                <w:color w:val="000000"/>
                <w:szCs w:val="21"/>
              </w:rPr>
            </w:pPr>
            <w:r>
              <w:rPr>
                <w:rFonts w:hint="eastAsia"/>
              </w:rPr>
              <w:t>统一采用低价优先法计算，即满足文件要求且最低报价为基准价，其价格分为满分。其他供应商的价格分统一按照下列公式计算：报价得分=(基准价／报价)×权重×100。</w:t>
            </w:r>
          </w:p>
        </w:tc>
        <w:tc>
          <w:tcPr>
            <w:tcW w:w="1317" w:type="dxa"/>
            <w:noWrap w:val="0"/>
            <w:vAlign w:val="center"/>
          </w:tcPr>
          <w:p>
            <w:pPr>
              <w:widowControl/>
              <w:adjustRightInd w:val="0"/>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6" w:hRule="atLeast"/>
          <w:jc w:val="center"/>
        </w:trPr>
        <w:tc>
          <w:tcPr>
            <w:tcW w:w="675" w:type="dxa"/>
            <w:noWrap w:val="0"/>
            <w:vAlign w:val="center"/>
          </w:tcPr>
          <w:p>
            <w:pPr>
              <w:snapToGrid w:val="0"/>
              <w:spacing w:line="400" w:lineRule="exact"/>
              <w:jc w:val="center"/>
              <w:rPr>
                <w:rFonts w:ascii="宋体" w:hAnsi="宋体" w:cs="宋体"/>
                <w:snapToGrid w:val="0"/>
                <w:szCs w:val="21"/>
              </w:rPr>
            </w:pPr>
            <w:r>
              <w:rPr>
                <w:rFonts w:hint="eastAsia" w:ascii="宋体" w:hAnsi="宋体" w:cs="宋体"/>
                <w:snapToGrid w:val="0"/>
                <w:szCs w:val="21"/>
              </w:rPr>
              <w:t>2</w:t>
            </w:r>
          </w:p>
        </w:tc>
        <w:tc>
          <w:tcPr>
            <w:tcW w:w="1100" w:type="dxa"/>
            <w:noWrap w:val="0"/>
            <w:vAlign w:val="center"/>
          </w:tcPr>
          <w:p>
            <w:pPr>
              <w:widowControl/>
              <w:adjustRightInd w:val="0"/>
              <w:snapToGrid w:val="0"/>
              <w:spacing w:line="400" w:lineRule="exact"/>
              <w:rPr>
                <w:rFonts w:ascii="宋体" w:hAnsi="宋体" w:cs="宋体"/>
                <w:color w:val="000000"/>
                <w:szCs w:val="21"/>
              </w:rPr>
            </w:pPr>
            <w:r>
              <w:rPr>
                <w:rFonts w:hint="eastAsia" w:ascii="宋体" w:hAnsi="宋体" w:cs="宋体"/>
                <w:color w:val="000000"/>
                <w:szCs w:val="21"/>
              </w:rPr>
              <w:t>服务方案</w:t>
            </w:r>
          </w:p>
        </w:tc>
        <w:tc>
          <w:tcPr>
            <w:tcW w:w="1200" w:type="dxa"/>
            <w:noWrap w:val="0"/>
            <w:vAlign w:val="center"/>
          </w:tcPr>
          <w:p>
            <w:pPr>
              <w:widowControl/>
              <w:adjustRightInd w:val="0"/>
              <w:snapToGrid w:val="0"/>
              <w:spacing w:line="400" w:lineRule="exact"/>
              <w:jc w:val="center"/>
              <w:rPr>
                <w:rFonts w:ascii="宋体" w:hAnsi="宋体" w:cs="宋体"/>
                <w:color w:val="000000"/>
                <w:szCs w:val="21"/>
              </w:rPr>
            </w:pPr>
            <w:r>
              <w:rPr>
                <w:rFonts w:hint="eastAsia" w:ascii="宋体" w:hAnsi="宋体" w:cs="宋体"/>
                <w:color w:val="000000"/>
                <w:szCs w:val="21"/>
              </w:rPr>
              <w:t>30</w:t>
            </w:r>
          </w:p>
        </w:tc>
        <w:tc>
          <w:tcPr>
            <w:tcW w:w="5572" w:type="dxa"/>
            <w:noWrap w:val="0"/>
            <w:vAlign w:val="center"/>
          </w:tcPr>
          <w:p>
            <w:pPr>
              <w:widowControl/>
              <w:adjustRightInd w:val="0"/>
              <w:snapToGrid w:val="0"/>
              <w:spacing w:line="400" w:lineRule="exact"/>
              <w:rPr>
                <w:rFonts w:ascii="宋体" w:hAnsi="宋体" w:cs="宋体"/>
              </w:rPr>
            </w:pPr>
            <w:r>
              <w:rPr>
                <w:rFonts w:hint="eastAsia" w:ascii="宋体" w:hAnsi="宋体" w:cs="宋体"/>
              </w:rPr>
              <w:t>根据服务内容，制定会议策划、流程执行等服务方案。通过综合评分，第一名得30分，第二名得20分，第三名得10分，其他不得分。名次不并列。</w:t>
            </w:r>
          </w:p>
        </w:tc>
        <w:tc>
          <w:tcPr>
            <w:tcW w:w="1317" w:type="dxa"/>
            <w:noWrap w:val="0"/>
            <w:vAlign w:val="center"/>
          </w:tcPr>
          <w:p>
            <w:pPr>
              <w:widowControl/>
              <w:adjustRightInd w:val="0"/>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jc w:val="center"/>
        </w:trPr>
        <w:tc>
          <w:tcPr>
            <w:tcW w:w="675" w:type="dxa"/>
            <w:noWrap w:val="0"/>
            <w:vAlign w:val="center"/>
          </w:tcPr>
          <w:p>
            <w:pPr>
              <w:snapToGrid w:val="0"/>
              <w:spacing w:line="400" w:lineRule="exact"/>
              <w:jc w:val="center"/>
              <w:rPr>
                <w:rFonts w:ascii="宋体" w:hAnsi="宋体" w:cs="宋体"/>
                <w:snapToGrid w:val="0"/>
                <w:szCs w:val="21"/>
              </w:rPr>
            </w:pPr>
            <w:r>
              <w:rPr>
                <w:rFonts w:hint="eastAsia" w:ascii="宋体" w:hAnsi="宋体" w:cs="宋体"/>
                <w:snapToGrid w:val="0"/>
                <w:szCs w:val="21"/>
              </w:rPr>
              <w:t>3</w:t>
            </w:r>
          </w:p>
        </w:tc>
        <w:tc>
          <w:tcPr>
            <w:tcW w:w="1100" w:type="dxa"/>
            <w:noWrap w:val="0"/>
            <w:vAlign w:val="center"/>
          </w:tcPr>
          <w:p>
            <w:pPr>
              <w:pStyle w:val="7"/>
              <w:spacing w:after="0" w:line="400" w:lineRule="exact"/>
              <w:rPr>
                <w:rFonts w:ascii="宋体" w:hAnsi="宋体" w:cs="宋体"/>
                <w:color w:val="000000"/>
                <w:szCs w:val="21"/>
              </w:rPr>
            </w:pPr>
            <w:r>
              <w:rPr>
                <w:rFonts w:hint="eastAsia" w:ascii="宋体" w:hAnsi="宋体" w:cs="宋体"/>
              </w:rPr>
              <w:t>嘉宾邀请</w:t>
            </w:r>
          </w:p>
        </w:tc>
        <w:tc>
          <w:tcPr>
            <w:tcW w:w="1200" w:type="dxa"/>
            <w:noWrap w:val="0"/>
            <w:vAlign w:val="center"/>
          </w:tcPr>
          <w:p>
            <w:pPr>
              <w:widowControl/>
              <w:adjustRightInd w:val="0"/>
              <w:snapToGrid w:val="0"/>
              <w:spacing w:line="400" w:lineRule="exact"/>
              <w:jc w:val="center"/>
              <w:rPr>
                <w:rFonts w:ascii="宋体" w:hAnsi="宋体" w:cs="宋体"/>
                <w:color w:val="000000"/>
                <w:szCs w:val="21"/>
              </w:rPr>
            </w:pPr>
            <w:r>
              <w:rPr>
                <w:rFonts w:hint="eastAsia" w:ascii="宋体" w:hAnsi="宋体" w:cs="宋体"/>
                <w:szCs w:val="21"/>
              </w:rPr>
              <w:t>25</w:t>
            </w:r>
          </w:p>
        </w:tc>
        <w:tc>
          <w:tcPr>
            <w:tcW w:w="5572" w:type="dxa"/>
            <w:noWrap w:val="0"/>
            <w:vAlign w:val="center"/>
          </w:tcPr>
          <w:p>
            <w:pPr>
              <w:widowControl/>
              <w:adjustRightInd w:val="0"/>
              <w:snapToGrid w:val="0"/>
              <w:spacing w:line="400" w:lineRule="exact"/>
              <w:rPr>
                <w:rFonts w:ascii="宋体" w:hAnsi="宋体" w:cs="宋体"/>
              </w:rPr>
            </w:pPr>
            <w:r>
              <w:rPr>
                <w:rFonts w:hint="eastAsia" w:ascii="宋体" w:hAnsi="宋体" w:cs="宋体"/>
              </w:rPr>
              <w:t>邀请政府官员、商协会领导和相关行业企业。人数达到基本要求得20分，部委领导、商协会负责人每多1人加2分，总分最多不超过25分。（提供参会人员姓名、单位、职务）</w:t>
            </w:r>
          </w:p>
        </w:tc>
        <w:tc>
          <w:tcPr>
            <w:tcW w:w="1317" w:type="dxa"/>
            <w:noWrap w:val="0"/>
            <w:vAlign w:val="center"/>
          </w:tcPr>
          <w:p>
            <w:pPr>
              <w:widowControl/>
              <w:adjustRightInd w:val="0"/>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1" w:hRule="atLeast"/>
          <w:jc w:val="center"/>
        </w:trPr>
        <w:tc>
          <w:tcPr>
            <w:tcW w:w="675" w:type="dxa"/>
            <w:noWrap w:val="0"/>
            <w:vAlign w:val="center"/>
          </w:tcPr>
          <w:p>
            <w:pPr>
              <w:snapToGrid w:val="0"/>
              <w:spacing w:line="400" w:lineRule="exact"/>
              <w:jc w:val="center"/>
              <w:rPr>
                <w:rFonts w:ascii="宋体" w:hAnsi="宋体" w:cs="宋体"/>
                <w:snapToGrid w:val="0"/>
                <w:szCs w:val="21"/>
              </w:rPr>
            </w:pPr>
            <w:r>
              <w:rPr>
                <w:rFonts w:hint="eastAsia" w:ascii="宋体" w:hAnsi="宋体" w:cs="宋体"/>
                <w:snapToGrid w:val="0"/>
                <w:szCs w:val="21"/>
              </w:rPr>
              <w:t>4</w:t>
            </w:r>
          </w:p>
        </w:tc>
        <w:tc>
          <w:tcPr>
            <w:tcW w:w="1100" w:type="dxa"/>
            <w:noWrap w:val="0"/>
            <w:vAlign w:val="center"/>
          </w:tcPr>
          <w:p>
            <w:pPr>
              <w:widowControl/>
              <w:adjustRightInd w:val="0"/>
              <w:snapToGrid w:val="0"/>
              <w:spacing w:line="400" w:lineRule="exact"/>
            </w:pPr>
            <w:r>
              <w:rPr>
                <w:rFonts w:hint="eastAsia" w:ascii="宋体" w:hAnsi="宋体" w:cs="宋体"/>
                <w:color w:val="000000"/>
                <w:szCs w:val="21"/>
              </w:rPr>
              <w:t>业绩案例</w:t>
            </w:r>
          </w:p>
        </w:tc>
        <w:tc>
          <w:tcPr>
            <w:tcW w:w="1200" w:type="dxa"/>
            <w:noWrap w:val="0"/>
            <w:vAlign w:val="center"/>
          </w:tcPr>
          <w:p>
            <w:pPr>
              <w:widowControl/>
              <w:adjustRightInd w:val="0"/>
              <w:snapToGrid w:val="0"/>
              <w:spacing w:line="400" w:lineRule="exact"/>
              <w:jc w:val="center"/>
              <w:rPr>
                <w:rFonts w:ascii="宋体" w:hAnsi="宋体" w:cs="宋体"/>
                <w:color w:val="000000"/>
                <w:szCs w:val="21"/>
              </w:rPr>
            </w:pPr>
            <w:r>
              <w:rPr>
                <w:rFonts w:hint="eastAsia" w:ascii="宋体" w:hAnsi="宋体" w:cs="宋体"/>
                <w:color w:val="000000"/>
                <w:szCs w:val="21"/>
              </w:rPr>
              <w:t>25</w:t>
            </w:r>
          </w:p>
        </w:tc>
        <w:tc>
          <w:tcPr>
            <w:tcW w:w="5572" w:type="dxa"/>
            <w:noWrap w:val="0"/>
            <w:vAlign w:val="center"/>
          </w:tcPr>
          <w:p>
            <w:pPr>
              <w:widowControl/>
              <w:adjustRightInd w:val="0"/>
              <w:snapToGrid w:val="0"/>
              <w:spacing w:line="400" w:lineRule="exact"/>
              <w:rPr>
                <w:rFonts w:ascii="宋体" w:hAnsi="宋体" w:cs="宋体"/>
              </w:rPr>
            </w:pPr>
            <w:r>
              <w:rPr>
                <w:rFonts w:hint="eastAsia" w:ascii="宋体" w:hAnsi="宋体" w:cs="宋体"/>
              </w:rPr>
              <w:t>提供自2019年1月1日以来有过会议策划、嘉宾邀请、流程执行等活动类似案例。1个得5分，最多得分不超过25分。提供证明材料（可只提供合同首页和盖章页，或者会议新闻及图片，均需注明会议规模，如没有注明规模的案例则不得分）。没有案例不得分。</w:t>
            </w:r>
          </w:p>
        </w:tc>
        <w:tc>
          <w:tcPr>
            <w:tcW w:w="1317" w:type="dxa"/>
            <w:noWrap w:val="0"/>
            <w:vAlign w:val="center"/>
          </w:tcPr>
          <w:p>
            <w:pPr>
              <w:widowControl/>
              <w:adjustRightInd w:val="0"/>
              <w:snapToGrid w:val="0"/>
              <w:spacing w:line="400" w:lineRule="exact"/>
              <w:jc w:val="center"/>
              <w:rPr>
                <w:rFonts w:ascii="宋体" w:hAnsi="宋体" w:cs="宋体"/>
                <w:szCs w:val="21"/>
              </w:rPr>
            </w:pPr>
          </w:p>
        </w:tc>
      </w:tr>
    </w:tbl>
    <w:p>
      <w:pPr>
        <w:spacing w:line="600" w:lineRule="exact"/>
        <w:ind w:firstLine="640"/>
        <w:jc w:val="left"/>
        <w:rPr>
          <w:rFonts w:hint="eastAsia" w:ascii="黑体" w:eastAsia="黑体" w:cs="黑体"/>
          <w:color w:val="auto"/>
          <w:kern w:val="0"/>
          <w:sz w:val="32"/>
          <w:szCs w:val="32"/>
          <w:highlight w:val="none"/>
          <w:lang w:val="zh-TW" w:eastAsia="zh-CN" w:bidi="ar-SA"/>
        </w:rPr>
      </w:pP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pStyle w:val="7"/>
        <w:rPr>
          <w:color w:val="auto"/>
          <w:highlight w:val="none"/>
        </w:rPr>
      </w:pPr>
    </w:p>
    <w:p>
      <w:pPr>
        <w:spacing w:line="360" w:lineRule="auto"/>
        <w:jc w:val="center"/>
        <w:rPr>
          <w:rFonts w:eastAsia="Arial Unicode MS"/>
          <w:color w:val="auto"/>
          <w:highlight w:val="none"/>
        </w:rPr>
      </w:pPr>
      <w:r>
        <w:rPr>
          <w:rFonts w:ascii="Arial Unicode MS" w:hAnsi="Arial Unicode MS" w:eastAsia="Arial Unicode MS" w:cs="Arial Unicode MS"/>
          <w:color w:val="auto"/>
          <w:sz w:val="24"/>
          <w:highlight w:val="none"/>
          <w:lang w:bidi="ar-SA"/>
        </w:rPr>
        <w:br w:type="page"/>
      </w: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7"/>
        <w:rPr>
          <w:rFonts w:ascii="Times New Roman" w:hAnsi="Times New Roman" w:eastAsia="Times New Roman"/>
          <w:color w:val="auto"/>
          <w:kern w:val="0"/>
          <w:sz w:val="32"/>
          <w:szCs w:val="32"/>
          <w:highlight w:val="none"/>
          <w:lang w:val="zh-TW" w:eastAsia="zh-TW"/>
        </w:rPr>
      </w:pPr>
    </w:p>
    <w:p>
      <w:pPr>
        <w:pStyle w:val="7"/>
        <w:rPr>
          <w:rFonts w:ascii="Times New Roman" w:hAnsi="Times New Roman" w:eastAsia="Times New Roman"/>
          <w:color w:val="auto"/>
          <w:kern w:val="0"/>
          <w:sz w:val="32"/>
          <w:szCs w:val="32"/>
          <w:highlight w:val="none"/>
          <w:lang w:val="zh-TW" w:eastAsia="zh-TW"/>
        </w:rPr>
      </w:pPr>
    </w:p>
    <w:p>
      <w:pPr>
        <w:pStyle w:val="7"/>
        <w:rPr>
          <w:rFonts w:ascii="Times New Roman" w:hAnsi="Times New Roman" w:eastAsia="Times New Roman"/>
          <w:color w:val="auto"/>
          <w:kern w:val="0"/>
          <w:sz w:val="32"/>
          <w:szCs w:val="32"/>
          <w:highlight w:val="none"/>
          <w:lang w:val="zh-TW" w:eastAsia="zh-TW"/>
        </w:rPr>
      </w:pPr>
    </w:p>
    <w:p>
      <w:pPr>
        <w:pStyle w:val="7"/>
        <w:rPr>
          <w:rFonts w:ascii="Times New Roman" w:hAnsi="Times New Roman" w:eastAsia="Times New Roman"/>
          <w:color w:val="auto"/>
          <w:kern w:val="0"/>
          <w:sz w:val="32"/>
          <w:szCs w:val="32"/>
          <w:highlight w:val="none"/>
          <w:lang w:val="zh-TW" w:eastAsia="zh-TW"/>
        </w:rPr>
      </w:pPr>
    </w:p>
    <w:p>
      <w:pPr>
        <w:pStyle w:val="7"/>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7"/>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7"/>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7"/>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7"/>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7"/>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1"/>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CellMar>
            <w:top w:w="0" w:type="dxa"/>
            <w:left w:w="10" w:type="dxa"/>
            <w:bottom w:w="0" w:type="dxa"/>
            <w:right w:w="10" w:type="dxa"/>
          </w:tblCellMar>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7"/>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永中宋体">
    <w:panose1 w:val="02010600030101010101"/>
    <w:charset w:val="86"/>
    <w:family w:val="auto"/>
    <w:pitch w:val="default"/>
    <w:sig w:usb0="00000803" w:usb1="080E0000" w:usb2="00000000" w:usb3="00000000" w:csb0="00040001" w:csb1="00000000"/>
  </w:font>
  <w:font w:name="仿宋_GB2312">
    <w:altName w:val="方正仿宋_GBK"/>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auto"/>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仿宋">
    <w:altName w:val="方正仿宋_GBK"/>
    <w:panose1 w:val="02010609060101010101"/>
    <w:charset w:val="00"/>
    <w:family w:val="auto"/>
    <w:pitch w:val="default"/>
    <w:sig w:usb0="800002BF" w:usb1="38CF7CFA" w:usb2="00000016" w:usb3="00000000" w:csb0="00040001" w:csb1="00000000"/>
  </w:font>
  <w:font w:name="Arial Unicode MS">
    <w:altName w:val="DejaVu Sans"/>
    <w:panose1 w:val="020B0604020202020204"/>
    <w:charset w:val="00"/>
    <w:family w:val="swiss"/>
    <w:pitch w:val="default"/>
    <w:sig w:usb0="FFFFFFFF" w:usb1="E9FFFFFF" w:usb2="0000003F" w:usb3="00000000" w:csb0="603F01FF" w:csb1="FFFF0000"/>
  </w:font>
  <w:font w:name="华文楷体">
    <w:altName w:val="方正楷体_GBK"/>
    <w:panose1 w:val="02010600040101010101"/>
    <w:charset w:val="00"/>
    <w:family w:val="auto"/>
    <w:pitch w:val="default"/>
    <w:sig w:usb0="00000287" w:usb1="080F0000" w:usb2="00000000" w:usb3="00000000" w:csb0="0004009F" w:csb1="DFD7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001010101"/>
    <w:charset w:val="00"/>
    <w:family w:val="modern"/>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楷体_GB2312">
    <w:altName w:val="方正楷体_GBK"/>
    <w:panose1 w:val="02010609030101010101"/>
    <w:charset w:val="00"/>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8"/>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2tWtSdAAAAADAQAADwAAAAAA&#10;AAABACAAAAA4AAAAZHJzL2Rvd25yZXYueG1sUEsBAhQAFAAAAAgAh07iQAm4NXzMAQAAlwMAAA4A&#10;AAAAAAAAAQAgAAAANQEAAGRycy9lMm9Eb2MueG1sUEsFBgAAAAAGAAYAWQEAAHMFAAAAAA==&#10;">
              <v:fill on="f" focussize="0,0"/>
              <v:stroke on="f"/>
              <v:imagedata o:title=""/>
              <o:lock v:ext="edit" aspectratio="f"/>
              <v:textbox inset="0mm,0mm,0mm,0mm" style="mso-fit-shape-to-text:t;">
                <w:txbxContent>
                  <w:p>
                    <w:pPr>
                      <w:pStyle w:val="8"/>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NjNlZDU3ZDI3MjBkMTUyZTVkN2ZkNjkyMmQ4YWQifQ=="/>
  </w:docVars>
  <w:rsids>
    <w:rsidRoot w:val="00172A27"/>
    <w:rsid w:val="2EB40D57"/>
    <w:rsid w:val="2F574235"/>
    <w:rsid w:val="3FEE992E"/>
    <w:rsid w:val="46FE51A4"/>
    <w:rsid w:val="5DD71FA1"/>
    <w:rsid w:val="5DDB8C64"/>
    <w:rsid w:val="5F60D3B9"/>
    <w:rsid w:val="64BB5415"/>
    <w:rsid w:val="6E5B8FCD"/>
    <w:rsid w:val="6F77F51F"/>
    <w:rsid w:val="6FC39948"/>
    <w:rsid w:val="7327559F"/>
    <w:rsid w:val="78341B71"/>
    <w:rsid w:val="796659D1"/>
    <w:rsid w:val="7BBD91E1"/>
    <w:rsid w:val="7BD52DA5"/>
    <w:rsid w:val="7BF75869"/>
    <w:rsid w:val="7CFDE407"/>
    <w:rsid w:val="7EE167C3"/>
    <w:rsid w:val="7EFE8B9B"/>
    <w:rsid w:val="7F33F7EE"/>
    <w:rsid w:val="7FBB82D9"/>
    <w:rsid w:val="7FFBE354"/>
    <w:rsid w:val="8BFDF4F3"/>
    <w:rsid w:val="97F71C7E"/>
    <w:rsid w:val="9DBF74C8"/>
    <w:rsid w:val="9E2B949D"/>
    <w:rsid w:val="BDF54B3D"/>
    <w:rsid w:val="D6B33DB0"/>
    <w:rsid w:val="E3F7C8AD"/>
    <w:rsid w:val="E77C7A71"/>
    <w:rsid w:val="ECB63117"/>
    <w:rsid w:val="EFBE2158"/>
    <w:rsid w:val="F55F5EAF"/>
    <w:rsid w:val="F6F50964"/>
    <w:rsid w:val="F9FF3AAF"/>
    <w:rsid w:val="FB6D6B8D"/>
    <w:rsid w:val="FC754789"/>
    <w:rsid w:val="FCDB35C3"/>
    <w:rsid w:val="FD396BB8"/>
    <w:rsid w:val="FFFDED07"/>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永中宋体" w:hAnsi="永中宋体" w:eastAsia="仿宋_GB2312" w:cs="永中宋体"/>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next w:val="1"/>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5">
    <w:name w:val="heading 3"/>
    <w:basedOn w:val="1"/>
    <w:next w:val="1"/>
    <w:uiPriority w:val="0"/>
    <w:pPr>
      <w:keepNext/>
      <w:keepLines/>
      <w:widowControl w:val="0"/>
      <w:spacing w:before="260" w:after="260" w:line="415" w:lineRule="auto"/>
      <w:outlineLvl w:val="2"/>
    </w:pPr>
    <w:rPr>
      <w:b/>
      <w:sz w:val="32"/>
    </w:rPr>
  </w:style>
  <w:style w:type="paragraph" w:styleId="6">
    <w:name w:val="heading 5"/>
    <w:next w:val="1"/>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2">
    <w:name w:val="Default Paragraph Font"/>
    <w:uiPriority w:val="0"/>
  </w:style>
  <w:style w:type="table" w:default="1" w:styleId="11">
    <w:name w:val="Normal Table"/>
    <w:semiHidden/>
    <w:qFormat/>
    <w:uiPriority w:val="0"/>
    <w:tblPr>
      <w:tblStyle w:val="11"/>
      <w:tblCellMar>
        <w:top w:w="0" w:type="dxa"/>
        <w:left w:w="108" w:type="dxa"/>
        <w:bottom w:w="0" w:type="dxa"/>
        <w:right w:w="108" w:type="dxa"/>
      </w:tblCellMar>
    </w:tblPr>
  </w:style>
  <w:style w:type="paragraph" w:styleId="2">
    <w:name w:val="Normal Indent"/>
    <w:basedOn w:val="1"/>
    <w:uiPriority w:val="0"/>
    <w:pPr>
      <w:ind w:firstLine="200" w:firstLineChars="200"/>
    </w:pPr>
    <w:rPr>
      <w:szCs w:val="24"/>
    </w:rPr>
  </w:style>
  <w:style w:type="paragraph" w:styleId="7">
    <w:name w:val="Body Text"/>
    <w:basedOn w:val="1"/>
    <w:uiPriority w:val="0"/>
    <w:pPr>
      <w:spacing w:after="120"/>
    </w:pPr>
  </w:style>
  <w:style w:type="paragraph" w:styleId="8">
    <w:name w:val="footer"/>
    <w:basedOn w:val="1"/>
    <w:uiPriority w:val="0"/>
    <w:pPr>
      <w:tabs>
        <w:tab w:val="center" w:pos="4153"/>
        <w:tab w:val="right" w:pos="8306"/>
      </w:tabs>
      <w:snapToGrid w:val="0"/>
      <w:jc w:val="left"/>
    </w:pPr>
    <w:rPr>
      <w:sz w:val="18"/>
    </w:rPr>
  </w:style>
  <w:style w:type="paragraph" w:styleId="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3">
    <w:name w:val="Strong"/>
    <w:uiPriority w:val="0"/>
    <w:rPr>
      <w:b/>
      <w:bCs/>
    </w:rPr>
  </w:style>
  <w:style w:type="character" w:styleId="14">
    <w:name w:val="Hyperlink"/>
    <w:basedOn w:val="12"/>
    <w:uiPriority w:val="0"/>
    <w:rPr>
      <w:color w:val="0000FF"/>
      <w:u w:val="single"/>
    </w:rPr>
  </w:style>
  <w:style w:type="character" w:customStyle="1" w:styleId="15">
    <w:name w:val="fontstyle01"/>
    <w:basedOn w:val="12"/>
    <w:uiPriority w:val="0"/>
    <w:rPr>
      <w:rFonts w:ascii="仿宋" w:eastAsia="仿宋" w:cs="Times New Roman"/>
      <w:color w:val="000000"/>
      <w:sz w:val="28"/>
      <w:szCs w:val="28"/>
      <w:lang w:bidi="ar-SA"/>
    </w:rPr>
  </w:style>
  <w:style w:type="paragraph" w:customStyle="1" w:styleId="16">
    <w:name w:val="列出段落21"/>
    <w:basedOn w:val="1"/>
    <w:uiPriority w:val="0"/>
    <w:pPr>
      <w:widowControl/>
      <w:ind w:firstLine="200" w:firstLineChars="200"/>
      <w:jc w:val="left"/>
    </w:pPr>
    <w:rPr>
      <w:rFonts w:ascii="Calibri" w:hAnsi="Calibri"/>
      <w:kern w:val="0"/>
      <w:sz w:val="24"/>
      <w:szCs w:val="24"/>
    </w:rPr>
  </w:style>
  <w:style w:type="paragraph" w:styleId="17">
    <w:name w:val="List Paragraph"/>
    <w:basedOn w:val="1"/>
    <w:uiPriority w:val="0"/>
    <w:pPr>
      <w:ind w:firstLine="200" w:firstLineChars="200"/>
    </w:pPr>
  </w:style>
  <w:style w:type="paragraph" w:customStyle="1" w:styleId="18">
    <w:name w:val="页眉与页脚"/>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19">
    <w:name w:val="reader-word-layer"/>
    <w:uiPriority w:val="0"/>
    <w:pPr>
      <w:widowControl/>
      <w:spacing w:before="100" w:beforeAutospacing="1" w:after="100" w:afterAutospacing="1"/>
      <w:jc w:val="left"/>
    </w:pPr>
    <w:rPr>
      <w:rFonts w:ascii="宋体" w:eastAsia="宋体" w:cs="宋体"/>
      <w:kern w:val="0"/>
      <w:sz w:val="24"/>
      <w:szCs w:val="24"/>
      <w:lang w:val="en-US" w:eastAsia="zh-CN" w:bidi="ar-SA"/>
    </w:rPr>
  </w:style>
  <w:style w:type="paragraph" w:customStyle="1" w:styleId="20">
    <w:name w:val="p0"/>
    <w:uiPriority w:val="0"/>
    <w:pPr>
      <w:widowControl/>
      <w:jc w:val="both"/>
    </w:pPr>
    <w:rPr>
      <w:rFonts w:ascii="Calibri" w:hAnsi="Calibri" w:eastAsia="宋体" w:cs="Times New Roman"/>
      <w:kern w:val="2"/>
      <w:sz w:val="21"/>
      <w:szCs w:val="21"/>
      <w:lang w:val="en-US" w:eastAsia="zh-CN" w:bidi="ar-SA"/>
    </w:rPr>
  </w:style>
  <w:style w:type="paragraph" w:customStyle="1" w:styleId="21">
    <w:name w:val="样式 小二"/>
    <w:next w:val="7"/>
    <w:qFormat/>
    <w:uiPriority w:val="0"/>
    <w:pPr>
      <w:outlineLvl w:val="0"/>
    </w:pPr>
    <w:rPr>
      <w:rFonts w:ascii="永中宋体" w:hAnsi="永中宋体" w:eastAsia="宋体" w:cs="永中宋体"/>
      <w:kern w:val="24"/>
      <w:sz w:val="36"/>
      <w:szCs w:val="36"/>
      <w:lang w:val="en-US" w:eastAsia="zh-CN" w:bidi="ar-SA"/>
    </w:rPr>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15</Pages>
  <Words>3329</Words>
  <Characters>3470</Characters>
  <TotalTime>0</TotalTime>
  <ScaleCrop>false</ScaleCrop>
  <LinksUpToDate>false</LinksUpToDate>
  <CharactersWithSpaces>3669</CharactersWithSpaces>
  <Application>WPS Office_11.8.2.1121_F1E327BC-269C-435d-A152-05C5408002CA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2014-11-08T04:08:00Z</dcterms:created>
  <dc:creator>Administrator</dc:creator>
  <cp:lastModifiedBy>胡</cp:lastModifiedBy>
  <dcterms:modified xsi:type="dcterms:W3CDTF">2023-03-13T18:18:06Z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2052-11.8.2.1121</vt:lpwstr>
  </property>
  <property fmtid="{D5CDD505-2E9C-101B-9397-08002B2CF9AE}" pid="4" name="ICV">
    <vt:lpwstr>A3DB069538487DD45EF80E64CB3FA52D</vt:lpwstr>
  </property>
</Properties>
</file>