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p>
    <w:p>
      <w:pPr>
        <w:spacing w:line="360" w:lineRule="auto"/>
        <w:jc w:val="center"/>
        <w:rPr>
          <w:rFonts w:hint="eastAsia" w:ascii="方正小标宋_GBK" w:hAnsi="方正小标宋_GBK" w:eastAsia="方正小标宋_GBK" w:cs="方正小标宋_GBK"/>
          <w:color w:val="auto"/>
          <w:kern w:val="0"/>
          <w:sz w:val="44"/>
          <w:szCs w:val="44"/>
          <w:highlight w:val="none"/>
          <w:lang w:val="zh-TW" w:eastAsia="zh-TW" w:bidi="ar-SA"/>
        </w:rPr>
      </w:pPr>
      <w:r>
        <w:rPr>
          <w:rFonts w:hint="eastAsia" w:ascii="方正小标宋_GBK" w:hAnsi="方正小标宋_GBK" w:eastAsia="方正小标宋_GBK" w:cs="方正小标宋_GBK"/>
          <w:color w:val="auto"/>
          <w:kern w:val="0"/>
          <w:sz w:val="44"/>
          <w:szCs w:val="44"/>
          <w:highlight w:val="none"/>
          <w:lang w:val="zh-TW" w:eastAsia="zh-TW" w:bidi="ar-SA"/>
        </w:rPr>
        <w:t>2023年尼泊尔、斯里兰卡经贸团行程与地接综合保障服务项目</w:t>
      </w:r>
    </w:p>
    <w:p>
      <w:pPr>
        <w:pStyle w:val="2"/>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rPr>
          <w:rFonts w:hint="eastAsia"/>
          <w:lang w:val="zh-TW" w:eastAsia="zh-TW"/>
        </w:rPr>
      </w:pPr>
    </w:p>
    <w:p>
      <w:pPr>
        <w:pStyle w:val="2"/>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hAnsi="Calibri" w:eastAsia="仿宋" w:cs="仿宋"/>
          <w:b/>
          <w:bCs/>
          <w:color w:val="auto"/>
          <w:kern w:val="0"/>
          <w:sz w:val="36"/>
          <w:szCs w:val="36"/>
          <w:highlight w:val="none"/>
          <w:lang w:val="zh-TW" w:eastAsia="zh-TW" w:bidi="ar-SA"/>
        </w:rPr>
        <w:t>中国国际贸易促进委员会四川省委员会</w:t>
      </w:r>
    </w:p>
    <w:p>
      <w:pPr>
        <w:keepNext w:val="0"/>
        <w:keepLines w:val="0"/>
        <w:pageBreakBefore w:val="0"/>
        <w:widowControl/>
        <w:suppressAutoHyphens/>
        <w:kinsoku/>
        <w:wordWrap/>
        <w:overflowPunct/>
        <w:topLinePunct w:val="0"/>
        <w:autoSpaceDE/>
        <w:autoSpaceDN/>
        <w:bidi w:val="0"/>
        <w:adjustRightInd/>
        <w:snapToGrid/>
        <w:spacing w:line="360" w:lineRule="auto"/>
        <w:ind w:firstLine="722" w:firstLineChars="200"/>
        <w:jc w:val="left"/>
        <w:textAlignment w:val="auto"/>
        <w:rPr>
          <w:rFonts w:hint="eastAsia" w:ascii="仿宋_GB2312" w:eastAsia="仿宋_GB2312" w:cs="仿宋_GB2312"/>
          <w:b w:val="0"/>
          <w:bCs w:val="0"/>
          <w:color w:val="auto"/>
          <w:sz w:val="32"/>
          <w:szCs w:val="32"/>
          <w:highlight w:val="none"/>
          <w:lang w:val="zh-TW" w:eastAsia="zh-TW"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10</w:t>
      </w:r>
      <w:r>
        <w:rPr>
          <w:rFonts w:hint="eastAsia" w:ascii="仿宋" w:eastAsia="仿宋" w:cs="仿宋"/>
          <w:b/>
          <w:bCs/>
          <w:color w:val="auto"/>
          <w:kern w:val="0"/>
          <w:sz w:val="36"/>
          <w:szCs w:val="36"/>
          <w:highlight w:val="none"/>
          <w:lang w:val="zh-TW" w:eastAsia="zh-TW" w:bidi="ar-SA"/>
        </w:rPr>
        <w:t>月</w:t>
      </w:r>
      <w:r>
        <w:rPr>
          <w:rFonts w:ascii="Arial Unicode MS" w:hAnsi="Arial Unicode MS" w:eastAsia="Arial Unicode MS" w:cs="Arial Unicode MS"/>
          <w:color w:val="auto"/>
          <w:highlight w:val="none"/>
          <w:lang w:bidi="ar-SA"/>
        </w:rPr>
        <w:br w:type="page"/>
      </w:r>
      <w:r>
        <w:rPr>
          <w:rFonts w:hint="eastAsia" w:ascii="Arial Unicode MS" w:hAnsi="Arial Unicode MS" w:eastAsia="宋体" w:cs="Arial Unicode MS"/>
          <w:color w:val="auto"/>
          <w:highlight w:val="none"/>
          <w:lang w:val="en-US" w:eastAsia="zh-CN" w:bidi="ar-SA"/>
        </w:rPr>
        <w:t xml:space="preserve">    </w:t>
      </w:r>
      <w:r>
        <w:rPr>
          <w:rFonts w:hint="eastAsia" w:ascii="仿宋_GB2312" w:hAnsi="Calibri" w:eastAsia="仿宋_GB2312" w:cs="仿宋_GB2312"/>
          <w:color w:val="auto"/>
          <w:sz w:val="32"/>
          <w:szCs w:val="32"/>
          <w:highlight w:val="none"/>
          <w:lang w:val="zh-TW" w:eastAsia="zh-TW" w:bidi="ar-SA"/>
        </w:rPr>
        <w:t>中国国际贸易促进委员会四川省委员会</w:t>
      </w:r>
      <w:r>
        <w:rPr>
          <w:rFonts w:hint="eastAsia" w:ascii="仿宋_GB2312" w:eastAsia="仿宋_GB2312" w:cs="仿宋_GB2312"/>
          <w:color w:val="auto"/>
          <w:sz w:val="32"/>
          <w:szCs w:val="32"/>
          <w:highlight w:val="none"/>
          <w:lang w:val="zh-TW" w:eastAsia="zh-TW" w:bidi="ar-SA"/>
        </w:rPr>
        <w:t>作为采购人诚邀符合条件的供应商参加我会2023年尼泊尔、斯里兰卡经贸团行程与地接综合保障服务项目。</w:t>
      </w:r>
      <w:bookmarkStart w:id="0" w:name="_GoBack"/>
      <w:bookmarkEnd w:id="0"/>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仿宋_GB2312" w:eastAsia="仿宋_GB2312" w:cs="仿宋_GB2312"/>
          <w:color w:val="auto"/>
          <w:sz w:val="32"/>
          <w:szCs w:val="32"/>
          <w:highlight w:val="none"/>
          <w:lang w:val="zh-TW" w:eastAsia="zh-TW" w:bidi="ar-SA"/>
        </w:rPr>
        <w:t>2023年尼泊尔、斯里兰卡经贸团行程与地接综合保障服务项目</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2"/>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23</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default" w:ascii="仿宋_GB2312" w:eastAsia="仿宋_GB2312" w:cs="仿宋_GB2312"/>
          <w:color w:val="auto"/>
          <w:sz w:val="32"/>
          <w:szCs w:val="32"/>
          <w:highlight w:val="none"/>
          <w:lang w:val="en-US" w:bidi="ar-SA"/>
        </w:rPr>
        <w:t>2</w:t>
      </w:r>
      <w:r>
        <w:rPr>
          <w:rFonts w:hint="eastAsia" w:ascii="仿宋_GB2312" w:eastAsia="仿宋_GB2312" w:cs="仿宋_GB2312"/>
          <w:color w:val="auto"/>
          <w:sz w:val="32"/>
          <w:szCs w:val="32"/>
          <w:highlight w:val="none"/>
          <w:lang w:val="en-US" w:eastAsia="zh-CN" w:bidi="ar-SA"/>
        </w:rPr>
        <w:t>4</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1</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11</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杨晓爽</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20</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val="en-US" w:eastAsia="zh-CN" w:bidi="ar-SA"/>
        </w:rPr>
        <w:t>yangxiaoshuang</w:t>
      </w:r>
      <w:r>
        <w:rPr>
          <w:rFonts w:hint="eastAsia" w:ascii="仿宋_GB2312" w:eastAsia="仿宋_GB2312" w:cs="仿宋_GB2312"/>
          <w:bCs/>
          <w:color w:val="auto"/>
          <w:sz w:val="32"/>
          <w:szCs w:val="32"/>
          <w:highlight w:val="none"/>
          <w:lang w:bidi="ar-SA"/>
        </w:rPr>
        <w:t>@ccpit-sichuan.org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center"/>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 xml:space="preserve">                               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2023年10月17日</w:t>
      </w:r>
    </w:p>
    <w:p>
      <w:pPr>
        <w:pStyle w:val="2"/>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2"/>
        <w:rPr>
          <w:rFonts w:hint="eastAsia"/>
          <w:color w:val="auto"/>
          <w:highlight w:val="none"/>
        </w:rPr>
      </w:pPr>
    </w:p>
    <w:tbl>
      <w:tblPr>
        <w:tblStyle w:val="1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7" w:type="dxa"/>
            <w:gridSpan w:val="4"/>
            <w:shd w:val="clear" w:color="auto" w:fill="FFFFFF"/>
            <w:noWrap w:val="0"/>
            <w:vAlign w:val="center"/>
          </w:tcPr>
          <w:p>
            <w:pPr>
              <w:spacing w:line="540" w:lineRule="exact"/>
              <w:ind w:firstLine="0" w:firstLineChars="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w:t>
            </w:r>
            <w:r>
              <w:rPr>
                <w:rFonts w:hint="eastAsia" w:ascii="仿宋_GB2312" w:eastAsia="仿宋_GB2312" w:cs="仿宋_GB2312"/>
                <w:color w:val="auto"/>
                <w:sz w:val="32"/>
                <w:szCs w:val="32"/>
                <w:highlight w:val="none"/>
                <w:lang w:val="zh-TW" w:eastAsia="zh-TW" w:bidi="ar-SA"/>
              </w:rPr>
              <w:t>2023年尼泊尔、斯里兰卡经贸团行程与地接综合保障服务项目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spacing w:line="540" w:lineRule="exact"/>
              <w:ind w:firstLine="42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w:t>
            </w:r>
            <w:r>
              <w:rPr>
                <w:rFonts w:hint="eastAsia" w:ascii="仿宋_GB2312" w:eastAsia="仿宋_GB2312" w:cs="仿宋_GB2312"/>
                <w:color w:val="auto"/>
                <w:sz w:val="32"/>
                <w:szCs w:val="32"/>
                <w:highlight w:val="none"/>
                <w:u w:val="single"/>
                <w:lang w:val="zh-TW" w:eastAsia="zh-TW" w:bidi="ar-SA"/>
              </w:rPr>
              <w:t>2023年尼泊尔、斯里兰卡经贸团行程与地接综合保障服务项目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3" w:type="default"/>
          <w:footerReference r:id="rId4"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不高于</w:t>
      </w:r>
      <w:r>
        <w:rPr>
          <w:rFonts w:hint="eastAsia" w:ascii="仿宋_GB2312" w:hAnsi="仿宋_GB2312" w:eastAsia="仿宋_GB2312" w:cs="仿宋_GB2312"/>
          <w:sz w:val="32"/>
          <w:szCs w:val="32"/>
          <w:lang w:val="en-US" w:eastAsia="zh-CN"/>
        </w:rPr>
        <w:t>13500</w:t>
      </w:r>
      <w:r>
        <w:rPr>
          <w:rFonts w:hint="eastAsia" w:ascii="仿宋_GB2312" w:hAnsi="仿宋_GB2312" w:eastAsia="仿宋_GB2312" w:cs="仿宋_GB2312"/>
          <w:sz w:val="32"/>
          <w:szCs w:val="32"/>
        </w:rPr>
        <w:t>元人民币/人</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6"/>
          <w:rFonts w:hint="eastAsia" w:ascii="仿宋_GB2312" w:eastAsia="仿宋_GB2312" w:cs="仿宋_GB2312"/>
          <w:color w:val="auto"/>
          <w:sz w:val="32"/>
          <w:szCs w:val="32"/>
          <w:highlight w:val="none"/>
          <w:lang w:bidi="ar-SA"/>
        </w:rPr>
      </w:pPr>
      <w:r>
        <w:rPr>
          <w:rStyle w:val="16"/>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2"/>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团组行程：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成都-</w:t>
      </w:r>
      <w:r>
        <w:rPr>
          <w:rFonts w:hint="eastAsia" w:ascii="仿宋_GB2312" w:hAnsi="仿宋_GB2312" w:eastAsia="仿宋_GB2312" w:cs="仿宋_GB2312"/>
          <w:sz w:val="32"/>
          <w:szCs w:val="32"/>
          <w:lang w:eastAsia="zh-CN"/>
        </w:rPr>
        <w:t>加德满都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科伦坡</w:t>
      </w:r>
      <w:r>
        <w:rPr>
          <w:rFonts w:hint="eastAsia" w:ascii="仿宋_GB2312" w:hAnsi="仿宋_GB2312" w:eastAsia="仿宋_GB2312" w:cs="仿宋_GB2312"/>
          <w:sz w:val="32"/>
          <w:szCs w:val="32"/>
        </w:rPr>
        <w:t>-成都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全程时间：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8天（2023年11月6日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13日）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服务内容：全程经济舱机票、住宿、交通。</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付款方式：以合同约定为准</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如因政策等不可抗力原因，</w:t>
      </w:r>
      <w:r>
        <w:rPr>
          <w:rFonts w:ascii="仿宋_GB2312" w:eastAsia="仿宋_GB2312"/>
          <w:sz w:val="32"/>
          <w:szCs w:val="32"/>
        </w:rPr>
        <w:t>活动</w:t>
      </w:r>
      <w:r>
        <w:rPr>
          <w:rFonts w:hint="eastAsia" w:ascii="仿宋_GB2312" w:eastAsia="仿宋_GB2312"/>
          <w:sz w:val="32"/>
          <w:szCs w:val="32"/>
        </w:rPr>
        <w:t>时间有调整，服务时间顺势</w:t>
      </w:r>
      <w:r>
        <w:rPr>
          <w:rFonts w:ascii="仿宋_GB2312" w:eastAsia="仿宋_GB2312"/>
          <w:sz w:val="32"/>
          <w:szCs w:val="32"/>
        </w:rPr>
        <w:t>调整</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六、验收方法</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验收小组通过酒店、交通等服务对整体进行评估验收，并形成验收报告。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2"/>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2"/>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2"/>
        <w:tblW w:w="5134" w:type="pct"/>
        <w:jc w:val="center"/>
        <w:tblLayout w:type="autofit"/>
        <w:tblCellMar>
          <w:top w:w="0" w:type="dxa"/>
          <w:left w:w="108" w:type="dxa"/>
          <w:bottom w:w="0" w:type="dxa"/>
          <w:right w:w="108" w:type="dxa"/>
        </w:tblCellMar>
      </w:tblPr>
      <w:tblGrid>
        <w:gridCol w:w="1483"/>
        <w:gridCol w:w="945"/>
        <w:gridCol w:w="5044"/>
        <w:gridCol w:w="1272"/>
      </w:tblGrid>
      <w:tr>
        <w:tblPrEx>
          <w:tblCellMar>
            <w:top w:w="0" w:type="dxa"/>
            <w:left w:w="108" w:type="dxa"/>
            <w:bottom w:w="0" w:type="dxa"/>
            <w:right w:w="108" w:type="dxa"/>
          </w:tblCellMar>
        </w:tblPrEx>
        <w:trPr>
          <w:trHeight w:val="513" w:hRule="atLeast"/>
          <w:jc w:val="center"/>
        </w:trPr>
        <w:tc>
          <w:tcPr>
            <w:tcW w:w="84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评分因数及权重</w:t>
            </w:r>
          </w:p>
        </w:tc>
        <w:tc>
          <w:tcPr>
            <w:tcW w:w="540" w:type="pc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分值</w:t>
            </w:r>
          </w:p>
        </w:tc>
        <w:tc>
          <w:tcPr>
            <w:tcW w:w="2883" w:type="pc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评分标准</w:t>
            </w:r>
          </w:p>
        </w:tc>
        <w:tc>
          <w:tcPr>
            <w:tcW w:w="727" w:type="pc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说明</w:t>
            </w:r>
          </w:p>
        </w:tc>
      </w:tr>
      <w:tr>
        <w:tblPrEx>
          <w:tblCellMar>
            <w:top w:w="0" w:type="dxa"/>
            <w:left w:w="108" w:type="dxa"/>
            <w:bottom w:w="0" w:type="dxa"/>
            <w:right w:w="108" w:type="dxa"/>
          </w:tblCellMar>
        </w:tblPrEx>
        <w:trPr>
          <w:trHeight w:val="90" w:hRule="atLeast"/>
          <w:jc w:val="center"/>
        </w:trPr>
        <w:tc>
          <w:tcPr>
            <w:tcW w:w="848" w:type="pct"/>
            <w:tcBorders>
              <w:top w:val="single" w:color="000000" w:sz="4" w:space="0"/>
              <w:left w:val="single" w:color="000000" w:sz="4" w:space="0"/>
              <w:right w:val="single" w:color="000000" w:sz="4" w:space="0"/>
            </w:tcBorders>
            <w:vAlign w:val="center"/>
          </w:tcPr>
          <w:p>
            <w:pPr>
              <w:widowControl/>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1.服务报价30%</w:t>
            </w:r>
          </w:p>
        </w:tc>
        <w:tc>
          <w:tcPr>
            <w:tcW w:w="540"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2883" w:type="pct"/>
            <w:tcBorders>
              <w:top w:val="single" w:color="000000" w:sz="4" w:space="0"/>
              <w:left w:val="nil"/>
              <w:right w:val="single" w:color="000000"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①行程15</w:t>
            </w:r>
            <w:r>
              <w:rPr>
                <w:rFonts w:hint="eastAsia" w:ascii="仿宋_GB2312" w:hAnsi="仿宋_GB2312" w:eastAsia="仿宋_GB2312" w:cs="仿宋_GB2312"/>
                <w:sz w:val="24"/>
                <w:szCs w:val="24"/>
                <w:lang w:val="zh-CN"/>
              </w:rPr>
              <w:t>人以内报价为</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分：满足磋商文件要求且</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val="zh-CN"/>
              </w:rPr>
              <w:t>人以内报价最低的为基准价，其报价分为</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分， 其它供应商报价分按如下公式计算：得分=基准价/供应商行程</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val="zh-CN"/>
              </w:rPr>
              <w:t>人以内报价×</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②行程</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lang w:val="zh-CN"/>
              </w:rPr>
              <w:t>到</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lang w:val="zh-CN"/>
              </w:rPr>
              <w:t>人报价为</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val="zh-CN"/>
              </w:rPr>
              <w:t>分：满足磋商文件要求且行程</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lang w:val="zh-CN"/>
              </w:rPr>
              <w:t>到</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lang w:val="zh-CN"/>
              </w:rPr>
              <w:t>人报价最低的为基准价，其得分为</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val="zh-CN"/>
              </w:rPr>
              <w:t>分， 其它供应商报价分按如下公式计算：报价得分=基准价/供应商行程</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lang w:val="zh-CN"/>
              </w:rPr>
              <w:t>到</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lang w:val="zh-CN"/>
              </w:rPr>
              <w:t>人报价×</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val="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③行程</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lang w:val="zh-CN"/>
              </w:rPr>
              <w:t>人以上报价分为</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分：满足磋商文件要求且行程</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lang w:val="zh-CN"/>
              </w:rPr>
              <w:t>人以上报价最低的为基准价，其报价分为</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分， 其它供应商报价分按如下公式计算：报价得分=基准价/供应商行程</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lang w:val="zh-CN"/>
              </w:rPr>
              <w:t>人以上报价×</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w:t>
            </w:r>
          </w:p>
        </w:tc>
        <w:tc>
          <w:tcPr>
            <w:tcW w:w="727" w:type="pct"/>
            <w:tcBorders>
              <w:top w:val="single" w:color="000000" w:sz="4" w:space="0"/>
              <w:left w:val="nil"/>
              <w:right w:val="single" w:color="000000" w:sz="4" w:space="0"/>
            </w:tcBorders>
            <w:vAlign w:val="center"/>
          </w:tcPr>
          <w:p>
            <w:pPr>
              <w:adjustRightInd w:val="0"/>
              <w:snapToGrid w:val="0"/>
              <w:spacing w:line="360" w:lineRule="auto"/>
              <w:ind w:left="-38"/>
              <w:jc w:val="center"/>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502" w:hRule="atLeast"/>
          <w:jc w:val="center"/>
        </w:trPr>
        <w:tc>
          <w:tcPr>
            <w:tcW w:w="848" w:type="pct"/>
            <w:tcBorders>
              <w:top w:val="single" w:color="000000" w:sz="4" w:space="0"/>
              <w:left w:val="single" w:color="000000" w:sz="4" w:space="0"/>
              <w:right w:val="single" w:color="000000" w:sz="4" w:space="0"/>
            </w:tcBorders>
            <w:vAlign w:val="center"/>
          </w:tcPr>
          <w:p>
            <w:pPr>
              <w:widowControl/>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2.服务方案36%</w:t>
            </w:r>
          </w:p>
        </w:tc>
        <w:tc>
          <w:tcPr>
            <w:tcW w:w="540"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36分</w:t>
            </w:r>
          </w:p>
        </w:tc>
        <w:tc>
          <w:tcPr>
            <w:tcW w:w="2883" w:type="pct"/>
            <w:tcBorders>
              <w:top w:val="single" w:color="000000"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供应商结合本项目采购需求编制项目服务方案，根据供应商编制的服务方案进行评审，包括但不限于:</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（1）服务保障措施（包含服务团队人员配置）；</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（2）进度计划方案；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（3）酒店安排配置方案；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（4）机票安排配置方案；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（5）用餐安排方案；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（6）车辆配置方案；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内容齐全且无缺陷得36分。每缺失一项内容扣6分，每有一处存在缺陷，扣3分,扣完为止。</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缺陷是指：与实际情况不符、夸大不合理、不符合采购人实际需求等任意一种情形</w:t>
            </w:r>
          </w:p>
        </w:tc>
        <w:tc>
          <w:tcPr>
            <w:tcW w:w="727"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1402" w:hRule="atLeast"/>
          <w:jc w:val="center"/>
        </w:trPr>
        <w:tc>
          <w:tcPr>
            <w:tcW w:w="848" w:type="pct"/>
            <w:tcBorders>
              <w:top w:val="single" w:color="000000" w:sz="4" w:space="0"/>
              <w:left w:val="single" w:color="000000" w:sz="4" w:space="0"/>
              <w:right w:val="single" w:color="000000" w:sz="4" w:space="0"/>
            </w:tcBorders>
            <w:vAlign w:val="center"/>
          </w:tcPr>
          <w:p>
            <w:pPr>
              <w:widowControl/>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3.服务质量15%</w:t>
            </w:r>
          </w:p>
        </w:tc>
        <w:tc>
          <w:tcPr>
            <w:tcW w:w="540"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15分</w:t>
            </w:r>
          </w:p>
        </w:tc>
        <w:tc>
          <w:tcPr>
            <w:tcW w:w="2883" w:type="pct"/>
            <w:tcBorders>
              <w:top w:val="single" w:color="000000"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提供2019年来承办过境外经贸（展览）活动成功案例。每个成功案例3分；最多得15分；没有成功案例不得分。</w:t>
            </w:r>
          </w:p>
        </w:tc>
        <w:tc>
          <w:tcPr>
            <w:tcW w:w="727"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提供相关证明材料</w:t>
            </w:r>
          </w:p>
        </w:tc>
      </w:tr>
      <w:tr>
        <w:tblPrEx>
          <w:tblCellMar>
            <w:top w:w="0" w:type="dxa"/>
            <w:left w:w="108" w:type="dxa"/>
            <w:bottom w:w="0" w:type="dxa"/>
            <w:right w:w="108" w:type="dxa"/>
          </w:tblCellMar>
        </w:tblPrEx>
        <w:trPr>
          <w:trHeight w:val="274" w:hRule="atLeast"/>
          <w:jc w:val="center"/>
        </w:trPr>
        <w:tc>
          <w:tcPr>
            <w:tcW w:w="848" w:type="pct"/>
            <w:tcBorders>
              <w:top w:val="single" w:color="000000" w:sz="4" w:space="0"/>
              <w:left w:val="single" w:color="000000" w:sz="4" w:space="0"/>
              <w:right w:val="single" w:color="000000" w:sz="4" w:space="0"/>
            </w:tcBorders>
            <w:vAlign w:val="center"/>
          </w:tcPr>
          <w:p>
            <w:pPr>
              <w:widowControl/>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4.应急预案9%</w:t>
            </w:r>
          </w:p>
        </w:tc>
        <w:tc>
          <w:tcPr>
            <w:tcW w:w="540"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9分</w:t>
            </w:r>
          </w:p>
        </w:tc>
        <w:tc>
          <w:tcPr>
            <w:tcW w:w="2883" w:type="pct"/>
            <w:tcBorders>
              <w:top w:val="single" w:color="000000"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投标人须提供详细的应急预案，能够全面考虑到项目执行中的突发情况，并提供解决办法。应急处理方案编制完善、对应处理措施合理可行的得9分；稍有一项欠缺的扣3分；扣完为止。</w:t>
            </w:r>
          </w:p>
        </w:tc>
        <w:tc>
          <w:tcPr>
            <w:tcW w:w="727" w:type="pct"/>
            <w:tcBorders>
              <w:top w:val="single" w:color="000000" w:sz="4" w:space="0"/>
              <w:left w:val="nil"/>
              <w:right w:val="single" w:color="000000" w:sz="4" w:space="0"/>
            </w:tcBorders>
            <w:vAlign w:val="center"/>
          </w:tcPr>
          <w:p>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817" w:hRule="atLeast"/>
          <w:jc w:val="center"/>
        </w:trPr>
        <w:tc>
          <w:tcPr>
            <w:tcW w:w="84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5.服务承诺10%</w:t>
            </w:r>
          </w:p>
        </w:tc>
        <w:tc>
          <w:tcPr>
            <w:tcW w:w="540" w:type="pc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2883"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投标人须作出详细的服务承诺，包括配合度，执行度等。完全承诺得10份，稍有欠缺扣2分，扣完为止。</w:t>
            </w:r>
          </w:p>
        </w:tc>
        <w:tc>
          <w:tcPr>
            <w:tcW w:w="727" w:type="pc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r>
    </w:tbl>
    <w:p>
      <w:pPr>
        <w:pStyle w:val="2"/>
        <w:rPr>
          <w:rFonts w:hint="eastAsia"/>
        </w:rPr>
      </w:pP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Theme="minorEastAsia" w:hAnsiTheme="minorEastAsia" w:eastAsiaTheme="minorEastAsia"/>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尼泊尔、斯里兰卡</w:t>
      </w:r>
      <w:r>
        <w:rPr>
          <w:rFonts w:hint="eastAsia" w:ascii="黑体" w:hAnsi="黑体" w:eastAsia="黑体" w:cs="黑体"/>
          <w:b w:val="0"/>
          <w:bCs/>
          <w:color w:val="000000" w:themeColor="text1"/>
          <w:kern w:val="0"/>
          <w:sz w:val="32"/>
          <w:szCs w:val="32"/>
          <w14:textFill>
            <w14:solidFill>
              <w14:schemeClr w14:val="tx1"/>
            </w14:solidFill>
          </w14:textFill>
        </w:rPr>
        <w:t>团组地接服务报价表</w:t>
      </w:r>
    </w:p>
    <w:p>
      <w:pPr>
        <w:pStyle w:val="2"/>
      </w:pPr>
    </w:p>
    <w:tbl>
      <w:tblPr>
        <w:tblStyle w:val="12"/>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37"/>
        <w:gridCol w:w="1157"/>
        <w:gridCol w:w="201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5" w:type="dxa"/>
            <w:gridSpan w:val="5"/>
            <w:shd w:val="clear" w:color="auto" w:fill="FFFFFF"/>
            <w:vAlign w:val="center"/>
          </w:tcPr>
          <w:p>
            <w:pPr>
              <w:tabs>
                <w:tab w:val="left" w:pos="540"/>
              </w:tabs>
              <w:spacing w:line="340" w:lineRule="exact"/>
              <w:ind w:left="960" w:hanging="960" w:hangingChars="400"/>
              <w:jc w:val="left"/>
              <w:rPr>
                <w:rFonts w:ascii="仿宋_GB2312" w:hAnsi="仿宋_GB2312" w:eastAsia="仿宋_GB2312" w:cs="仿宋_GB2312"/>
                <w:color w:val="auto"/>
                <w:sz w:val="24"/>
                <w:highlight w:val="none"/>
              </w:rPr>
            </w:pPr>
            <w:r>
              <w:rPr>
                <w:rFonts w:hint="eastAsia" w:ascii="黑体" w:hAnsi="黑体" w:eastAsia="黑体" w:cs="黑体"/>
                <w:color w:val="auto"/>
                <w:sz w:val="24"/>
                <w:highlight w:val="none"/>
              </w:rPr>
              <w:t>项目名称：</w:t>
            </w:r>
            <w:r>
              <w:rPr>
                <w:rFonts w:hint="eastAsia" w:ascii="仿宋_GB2312" w:hAnsi="仿宋_GB2312" w:eastAsia="仿宋_GB2312" w:cs="仿宋_GB2312"/>
                <w:color w:val="auto"/>
                <w:sz w:val="24"/>
                <w:highlight w:val="none"/>
                <w:lang w:eastAsia="zh-CN"/>
              </w:rPr>
              <w:t>2023年尼泊尔、斯里兰卡</w:t>
            </w:r>
            <w:r>
              <w:rPr>
                <w:rFonts w:hint="eastAsia" w:ascii="仿宋_GB2312" w:hAnsi="仿宋_GB2312" w:eastAsia="仿宋_GB2312" w:cs="仿宋_GB2312"/>
                <w:color w:val="auto"/>
                <w:sz w:val="24"/>
                <w:highlight w:val="none"/>
              </w:rPr>
              <w:t>经贸团行程与地接综合保障服务项目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shd w:val="clear" w:color="auto" w:fill="FFFFFF"/>
            <w:vAlign w:val="center"/>
          </w:tcPr>
          <w:p>
            <w:pPr>
              <w:spacing w:line="340" w:lineRule="exact"/>
              <w:jc w:val="center"/>
              <w:rPr>
                <w:rFonts w:ascii="黑体" w:hAnsi="黑体" w:eastAsia="黑体" w:cs="黑体"/>
                <w:color w:val="auto"/>
                <w:sz w:val="24"/>
                <w:highlight w:val="none"/>
              </w:rPr>
            </w:pPr>
            <w:r>
              <w:rPr>
                <w:rFonts w:hint="eastAsia" w:ascii="黑体" w:hAnsi="黑体" w:eastAsia="黑体" w:cs="黑体"/>
                <w:color w:val="auto"/>
                <w:sz w:val="24"/>
                <w:highlight w:val="none"/>
              </w:rPr>
              <w:t>团队名称</w:t>
            </w:r>
          </w:p>
        </w:tc>
        <w:tc>
          <w:tcPr>
            <w:tcW w:w="8615" w:type="dxa"/>
            <w:gridSpan w:val="4"/>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四川经贸代表团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shd w:val="clear" w:color="auto" w:fill="FFFFFF"/>
            <w:vAlign w:val="center"/>
          </w:tcPr>
          <w:p>
            <w:pPr>
              <w:spacing w:line="340" w:lineRule="exact"/>
              <w:jc w:val="center"/>
              <w:rPr>
                <w:rFonts w:ascii="黑体" w:hAnsi="黑体" w:eastAsia="黑体" w:cs="黑体"/>
                <w:color w:val="auto"/>
                <w:sz w:val="24"/>
                <w:highlight w:val="none"/>
              </w:rPr>
            </w:pPr>
            <w:r>
              <w:rPr>
                <w:rFonts w:hint="eastAsia" w:ascii="黑体" w:hAnsi="黑体" w:eastAsia="黑体" w:cs="黑体"/>
                <w:color w:val="auto"/>
                <w:sz w:val="24"/>
                <w:highlight w:val="none"/>
              </w:rPr>
              <w:t>出行时间</w:t>
            </w:r>
          </w:p>
        </w:tc>
        <w:tc>
          <w:tcPr>
            <w:tcW w:w="8615" w:type="dxa"/>
            <w:gridSpan w:val="4"/>
            <w:shd w:val="clear" w:color="auto" w:fill="FFFFFF"/>
            <w:vAlign w:val="center"/>
          </w:tcPr>
          <w:p>
            <w:pPr>
              <w:spacing w:line="340" w:lineRule="exact"/>
              <w:rPr>
                <w:color w:val="auto"/>
                <w:highlight w:val="none"/>
              </w:rPr>
            </w:pPr>
            <w:r>
              <w:rPr>
                <w:rFonts w:hint="eastAsia" w:ascii="仿宋_GB2312" w:hAnsi="仿宋_GB2312" w:eastAsia="仿宋_GB2312" w:cs="仿宋_GB2312"/>
                <w:color w:val="auto"/>
                <w:sz w:val="24"/>
                <w:highlight w:val="none"/>
              </w:rPr>
              <w:t>8天（2023年11月6日-13日）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restart"/>
            <w:shd w:val="clear" w:color="auto" w:fill="FFFFFF"/>
            <w:vAlign w:val="center"/>
          </w:tcPr>
          <w:p>
            <w:pPr>
              <w:spacing w:line="340" w:lineRule="exact"/>
              <w:jc w:val="center"/>
              <w:rPr>
                <w:rFonts w:ascii="黑体" w:hAnsi="黑体" w:eastAsia="黑体" w:cs="黑体"/>
                <w:color w:val="auto"/>
                <w:sz w:val="24"/>
                <w:highlight w:val="none"/>
              </w:rPr>
            </w:pPr>
            <w:r>
              <w:rPr>
                <w:rFonts w:hint="eastAsia" w:ascii="黑体" w:hAnsi="黑体" w:eastAsia="黑体" w:cs="黑体"/>
                <w:color w:val="auto"/>
                <w:sz w:val="24"/>
                <w:highlight w:val="none"/>
              </w:rPr>
              <w:t>团组要求</w:t>
            </w:r>
          </w:p>
        </w:tc>
        <w:tc>
          <w:tcPr>
            <w:tcW w:w="1237" w:type="dxa"/>
            <w:shd w:val="clear" w:color="auto" w:fill="FFFFFF"/>
            <w:vAlign w:val="center"/>
          </w:tcPr>
          <w:p>
            <w:pPr>
              <w:spacing w:line="34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行程</w:t>
            </w:r>
          </w:p>
        </w:tc>
        <w:tc>
          <w:tcPr>
            <w:tcW w:w="737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行程：成都-加德满都-科伦坡-成都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经费预算：不超过13</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00元/人（</w:t>
            </w:r>
            <w:r>
              <w:rPr>
                <w:rFonts w:hint="eastAsia" w:ascii="仿宋_GB2312" w:hAnsi="仿宋_GB2312" w:eastAsia="仿宋_GB2312" w:cs="仿宋_GB2312"/>
                <w:color w:val="auto"/>
                <w:sz w:val="24"/>
                <w:highlight w:val="none"/>
                <w:lang w:val="en-US" w:eastAsia="zh-CN"/>
              </w:rPr>
              <w:t>15-25</w:t>
            </w:r>
            <w:r>
              <w:rPr>
                <w:rFonts w:hint="eastAsia" w:ascii="仿宋_GB2312" w:hAnsi="仿宋_GB2312" w:eastAsia="仿宋_GB2312" w:cs="仿宋_GB2312"/>
                <w:color w:val="auto"/>
                <w:sz w:val="24"/>
                <w:highlight w:val="none"/>
              </w:rPr>
              <w:t>人左右，最终数量以我中心实际组织企业为准）。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注：按以上方案做详细行程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酒店</w:t>
            </w:r>
          </w:p>
        </w:tc>
        <w:tc>
          <w:tcPr>
            <w:tcW w:w="737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际连锁四星报价，且需提供酒店简介及多张彩色照片以便参考，每地需分别提供不少于三家的国际连锁四星酒店。参加比选的酒店应为最终入住的酒店，不得更改，如因特殊原因更改需经我方同意。备注酒店建成时间，酒店设施新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机票舱位</w:t>
            </w:r>
          </w:p>
        </w:tc>
        <w:tc>
          <w:tcPr>
            <w:tcW w:w="737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全程经济舱；尽量不使用晚间航班。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备注优先择直飞、飞行时间短、行李直挂的航班，转机最多一次，如需转机，候机时间控制在3小时内为宜。优先选择由我国航空公司运营的国际航线。在</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月</w:t>
            </w:r>
            <w:r>
              <w:rPr>
                <w:rFonts w:hint="default"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rPr>
              <w:t>日前，如因季节变化导致机票、酒店等要素价格变更，由供应商自行承担；</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月</w:t>
            </w:r>
            <w:r>
              <w:rPr>
                <w:rFonts w:hint="default" w:ascii="仿宋_GB2312" w:hAnsi="仿宋_GB2312" w:eastAsia="仿宋_GB2312" w:cs="仿宋_GB2312"/>
                <w:color w:val="auto"/>
                <w:sz w:val="24"/>
                <w:highlight w:val="none"/>
              </w:rPr>
              <w:t>30</w:t>
            </w:r>
            <w:r>
              <w:rPr>
                <w:rFonts w:hint="eastAsia" w:ascii="仿宋_GB2312" w:hAnsi="仿宋_GB2312" w:eastAsia="仿宋_GB2312" w:cs="仿宋_GB2312"/>
                <w:color w:val="auto"/>
                <w:sz w:val="24"/>
                <w:highlight w:val="none"/>
              </w:rPr>
              <w:t>日后，如因季节变化导致机票等要素价格变更，价格涨幅不得超过</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%，由双方协商解决；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用餐</w:t>
            </w:r>
          </w:p>
        </w:tc>
        <w:tc>
          <w:tcPr>
            <w:tcW w:w="737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早餐：以入住酒店的自助早餐为主。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午餐：中餐+当地餐（酒店自助餐或当地特色餐厅）。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晚餐：中餐+当地餐（酒店自助餐或当地特色餐厅）。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1.十菜一汤( 6荤4素1汤)，用餐地点必须是干净卫生的高档中餐厅，不能选择旅游团队用餐餐厅，全程包含两顿当地特色餐。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尼泊尔</w:t>
            </w:r>
            <w:r>
              <w:rPr>
                <w:rFonts w:hint="eastAsia" w:ascii="仿宋_GB2312" w:hAnsi="仿宋_GB2312" w:eastAsia="仿宋_GB2312" w:cs="仿宋_GB2312"/>
                <w:color w:val="auto"/>
                <w:sz w:val="24"/>
                <w:highlight w:val="none"/>
              </w:rPr>
              <w:t>和</w:t>
            </w:r>
            <w:r>
              <w:rPr>
                <w:rFonts w:hint="eastAsia" w:ascii="仿宋_GB2312" w:hAnsi="仿宋_GB2312" w:eastAsia="仿宋_GB2312" w:cs="仿宋_GB2312"/>
                <w:color w:val="auto"/>
                <w:sz w:val="24"/>
                <w:highlight w:val="none"/>
                <w:lang w:eastAsia="zh-CN"/>
              </w:rPr>
              <w:t>斯里兰卡</w:t>
            </w:r>
            <w:r>
              <w:rPr>
                <w:rFonts w:hint="eastAsia" w:ascii="仿宋_GB2312" w:hAnsi="仿宋_GB2312" w:eastAsia="仿宋_GB2312" w:cs="仿宋_GB2312"/>
                <w:color w:val="auto"/>
                <w:sz w:val="24"/>
                <w:highlight w:val="none"/>
              </w:rPr>
              <w:t>100元人民币/人/餐的标准（含转机餐，转机餐餐费为100元人民币/人/餐的标准）。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3.每人每天不低于2瓶矿泉水。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10" w:type="dxa"/>
            <w:vMerge w:val="continue"/>
            <w:shd w:val="clear" w:color="auto" w:fill="FFFFFF"/>
            <w:vAlign w:val="center"/>
          </w:tcPr>
          <w:p>
            <w:pPr>
              <w:spacing w:line="340" w:lineRule="exact"/>
              <w:jc w:val="center"/>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车辆</w:t>
            </w:r>
          </w:p>
        </w:tc>
        <w:tc>
          <w:tcPr>
            <w:tcW w:w="7378" w:type="dxa"/>
            <w:gridSpan w:val="3"/>
            <w:shd w:val="clear" w:color="auto" w:fill="FFFFFF"/>
            <w:vAlign w:val="center"/>
          </w:tcPr>
          <w:tbl>
            <w:tblPr>
              <w:tblStyle w:val="12"/>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378" w:type="dxa"/>
                  <w:tcBorders>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团队用车：含专职司机和导游，车辆9成新：</w:t>
                  </w:r>
                  <w:r>
                    <w:rPr>
                      <w:rFonts w:hint="eastAsia" w:ascii="仿宋_GB2312" w:hAnsi="仿宋_GB2312" w:eastAsia="仿宋_GB2312" w:cs="仿宋_GB2312"/>
                      <w:color w:val="auto"/>
                      <w:sz w:val="24"/>
                      <w:highlight w:val="none"/>
                      <w:lang w:val="en-US" w:eastAsia="zh-CN"/>
                    </w:rPr>
                    <w:t>35</w:t>
                  </w:r>
                  <w:r>
                    <w:rPr>
                      <w:rFonts w:hint="eastAsia" w:ascii="仿宋_GB2312" w:hAnsi="仿宋_GB2312" w:eastAsia="仿宋_GB2312" w:cs="仿宋_GB2312"/>
                      <w:color w:val="auto"/>
                      <w:sz w:val="24"/>
                      <w:highlight w:val="none"/>
                    </w:rPr>
                    <w:t>座豪华巴士。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车辆需提供照片确认，司机近3年内无重大交通违法记录，熟悉当地路况。</w:t>
                  </w:r>
                </w:p>
              </w:tc>
            </w:tr>
          </w:tbl>
          <w:p>
            <w:pPr>
              <w:spacing w:line="34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shd w:val="clear" w:color="auto" w:fill="FFFFFF"/>
            <w:vAlign w:val="center"/>
          </w:tcPr>
          <w:p>
            <w:pPr>
              <w:spacing w:line="340" w:lineRule="exact"/>
              <w:jc w:val="center"/>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其他</w:t>
            </w:r>
          </w:p>
        </w:tc>
        <w:tc>
          <w:tcPr>
            <w:tcW w:w="7378" w:type="dxa"/>
            <w:gridSpan w:val="3"/>
            <w:shd w:val="clear" w:color="auto" w:fill="FFFFFF"/>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提供3套免费的WIFI设施。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5" w:type="dxa"/>
            <w:gridSpan w:val="5"/>
            <w:shd w:val="clear" w:color="auto" w:fill="FFFFFF"/>
            <w:vAlign w:val="center"/>
          </w:tcPr>
          <w:p>
            <w:pPr>
              <w:spacing w:line="340" w:lineRule="exact"/>
              <w:jc w:val="center"/>
              <w:rPr>
                <w:rFonts w:ascii="仿宋_GB2312" w:hAnsi="仿宋_GB2312" w:eastAsia="仿宋_GB2312" w:cs="仿宋_GB2312"/>
                <w:b/>
                <w:color w:val="auto"/>
                <w:sz w:val="28"/>
                <w:szCs w:val="28"/>
                <w:highlight w:val="none"/>
              </w:rPr>
            </w:pPr>
            <w:r>
              <w:rPr>
                <w:rFonts w:hint="eastAsia" w:ascii="黑体" w:hAnsi="黑体" w:eastAsia="黑体" w:cs="黑体"/>
                <w:bCs/>
                <w:color w:val="auto"/>
                <w:sz w:val="28"/>
                <w:szCs w:val="28"/>
                <w:highlight w:val="none"/>
              </w:rPr>
              <w:t>报价详情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210" w:type="dxa"/>
            <w:shd w:val="clear" w:color="auto" w:fill="FFFFFF"/>
            <w:vAlign w:val="center"/>
          </w:tcPr>
          <w:p>
            <w:pPr>
              <w:spacing w:line="340" w:lineRule="exact"/>
              <w:rPr>
                <w:rFonts w:ascii="黑体" w:hAnsi="黑体" w:eastAsia="黑体" w:cs="黑体"/>
                <w:color w:val="auto"/>
                <w:sz w:val="24"/>
                <w:highlight w:val="none"/>
              </w:rPr>
            </w:pPr>
            <w:r>
              <w:rPr>
                <w:rFonts w:hint="eastAsia" w:ascii="黑体" w:hAnsi="黑体" w:eastAsia="黑体" w:cs="黑体"/>
                <w:color w:val="auto"/>
                <w:sz w:val="24"/>
                <w:highlight w:val="none"/>
              </w:rPr>
              <w:t>考察费用</w:t>
            </w:r>
          </w:p>
        </w:tc>
        <w:tc>
          <w:tcPr>
            <w:tcW w:w="8615" w:type="dxa"/>
            <w:gridSpan w:val="4"/>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费用合计：RMB       /人（为  </w:t>
            </w:r>
            <w:r>
              <w:rPr>
                <w:rFonts w:hint="eastAsia" w:ascii="仿宋_GB2312" w:hAnsi="仿宋_GB2312" w:eastAsia="仿宋_GB2312" w:cs="仿宋_GB2312"/>
                <w:bCs/>
                <w:color w:val="auto"/>
                <w:sz w:val="24"/>
                <w:highlight w:val="none"/>
              </w:rPr>
              <w:t>人标准</w:t>
            </w:r>
            <w:r>
              <w:rPr>
                <w:rFonts w:hint="eastAsia" w:ascii="仿宋_GB2312" w:hAnsi="仿宋_GB2312" w:eastAsia="仿宋_GB2312" w:cs="仿宋_GB2312"/>
                <w:color w:val="auto"/>
                <w:sz w:val="24"/>
                <w:highlight w:val="none"/>
              </w:rPr>
              <w:t xml:space="preserve">）；RMB       /人（为  </w:t>
            </w:r>
            <w:r>
              <w:rPr>
                <w:rFonts w:hint="eastAsia" w:ascii="仿宋_GB2312" w:hAnsi="仿宋_GB2312" w:eastAsia="仿宋_GB2312" w:cs="仿宋_GB2312"/>
                <w:bCs/>
                <w:color w:val="auto"/>
                <w:sz w:val="24"/>
                <w:highlight w:val="none"/>
              </w:rPr>
              <w:t>标准</w:t>
            </w:r>
            <w:r>
              <w:rPr>
                <w:rFonts w:hint="eastAsia" w:ascii="仿宋_GB2312" w:hAnsi="仿宋_GB2312" w:eastAsia="仿宋_GB2312" w:cs="仿宋_GB2312"/>
                <w:color w:val="auto"/>
                <w:sz w:val="24"/>
                <w:highlight w:val="none"/>
              </w:rPr>
              <w:t>）；</w:t>
            </w:r>
          </w:p>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FF0000"/>
                <w:sz w:val="24"/>
                <w:highlight w:val="none"/>
              </w:rPr>
              <w:t>注：</w:t>
            </w:r>
            <w:r>
              <w:rPr>
                <w:rFonts w:hint="eastAsia" w:ascii="仿宋_GB2312" w:hAnsi="仿宋_GB2312" w:eastAsia="仿宋_GB2312" w:cs="仿宋_GB2312"/>
                <w:b/>
                <w:color w:val="FF0000"/>
                <w:sz w:val="24"/>
                <w:highlight w:val="none"/>
              </w:rPr>
              <w:t>1、请按</w:t>
            </w:r>
            <w:r>
              <w:rPr>
                <w:rFonts w:hint="eastAsia" w:ascii="仿宋_GB2312" w:hAnsi="仿宋_GB2312" w:eastAsia="仿宋_GB2312" w:cs="仿宋_GB2312"/>
                <w:b/>
                <w:color w:val="FF0000"/>
                <w:sz w:val="24"/>
                <w:highlight w:val="none"/>
                <w:lang w:val="en-US" w:eastAsia="zh-CN"/>
              </w:rPr>
              <w:t>15</w:t>
            </w:r>
            <w:r>
              <w:rPr>
                <w:rFonts w:hint="eastAsia" w:ascii="仿宋_GB2312" w:hAnsi="仿宋_GB2312" w:eastAsia="仿宋_GB2312" w:cs="仿宋_GB2312"/>
                <w:b/>
                <w:color w:val="FF0000"/>
                <w:sz w:val="24"/>
                <w:highlight w:val="none"/>
              </w:rPr>
              <w:t>以内人</w:t>
            </w:r>
            <w:r>
              <w:rPr>
                <w:rFonts w:hint="eastAsia" w:ascii="仿宋_GB2312" w:hAnsi="仿宋_GB2312" w:eastAsia="仿宋_GB2312" w:cs="仿宋_GB2312"/>
                <w:b/>
                <w:color w:val="FF0000"/>
                <w:sz w:val="24"/>
                <w:highlight w:val="none"/>
                <w:lang w:eastAsia="zh-CN"/>
              </w:rPr>
              <w:t>，</w:t>
            </w:r>
            <w:r>
              <w:rPr>
                <w:rFonts w:hint="eastAsia" w:ascii="仿宋_GB2312" w:hAnsi="仿宋_GB2312" w:eastAsia="仿宋_GB2312" w:cs="仿宋_GB2312"/>
                <w:b/>
                <w:color w:val="FF0000"/>
                <w:sz w:val="24"/>
                <w:highlight w:val="none"/>
                <w:lang w:val="en-US" w:eastAsia="zh-CN"/>
              </w:rPr>
              <w:t>16-25</w:t>
            </w:r>
            <w:r>
              <w:rPr>
                <w:rFonts w:hint="eastAsia" w:ascii="仿宋_GB2312" w:hAnsi="仿宋_GB2312" w:eastAsia="仿宋_GB2312" w:cs="仿宋_GB2312"/>
                <w:b/>
                <w:color w:val="FF0000"/>
                <w:sz w:val="24"/>
                <w:highlight w:val="none"/>
              </w:rPr>
              <w:t>人，</w:t>
            </w:r>
            <w:r>
              <w:rPr>
                <w:rFonts w:hint="eastAsia" w:ascii="仿宋_GB2312" w:hAnsi="仿宋_GB2312" w:eastAsia="仿宋_GB2312" w:cs="仿宋_GB2312"/>
                <w:b/>
                <w:color w:val="FF0000"/>
                <w:sz w:val="24"/>
                <w:highlight w:val="none"/>
                <w:lang w:val="en-US" w:eastAsia="zh-CN"/>
              </w:rPr>
              <w:t>26</w:t>
            </w:r>
            <w:r>
              <w:rPr>
                <w:rFonts w:hint="eastAsia" w:ascii="仿宋_GB2312" w:hAnsi="仿宋_GB2312" w:eastAsia="仿宋_GB2312" w:cs="仿宋_GB2312"/>
                <w:b/>
                <w:color w:val="FF0000"/>
                <w:sz w:val="24"/>
                <w:highlight w:val="none"/>
              </w:rPr>
              <w:t>人以上分别报价。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vMerge w:val="restart"/>
            <w:shd w:val="clear" w:color="auto" w:fill="FFFFFF"/>
            <w:vAlign w:val="center"/>
          </w:tcPr>
          <w:p>
            <w:pPr>
              <w:spacing w:line="34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报价包含</w:t>
            </w:r>
          </w:p>
          <w:p>
            <w:pPr>
              <w:spacing w:line="340" w:lineRule="exact"/>
              <w:rPr>
                <w:rFonts w:ascii="黑体" w:hAnsi="黑体" w:eastAsia="黑体" w:cs="黑体"/>
                <w:color w:val="auto"/>
                <w:sz w:val="24"/>
                <w:highlight w:val="none"/>
              </w:rPr>
            </w:pPr>
          </w:p>
        </w:tc>
        <w:tc>
          <w:tcPr>
            <w:tcW w:w="2394" w:type="dxa"/>
            <w:gridSpan w:val="2"/>
            <w:shd w:val="clear" w:color="auto" w:fill="FFFFFF"/>
            <w:vAlign w:val="center"/>
          </w:tcPr>
          <w:p>
            <w:pPr>
              <w:spacing w:line="34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费用项目</w:t>
            </w:r>
          </w:p>
        </w:tc>
        <w:tc>
          <w:tcPr>
            <w:tcW w:w="2013" w:type="dxa"/>
            <w:shd w:val="clear" w:color="auto" w:fill="FFFFFF"/>
            <w:vAlign w:val="center"/>
          </w:tcPr>
          <w:p>
            <w:pPr>
              <w:spacing w:line="34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价格</w:t>
            </w:r>
          </w:p>
        </w:tc>
        <w:tc>
          <w:tcPr>
            <w:tcW w:w="4208" w:type="dxa"/>
            <w:shd w:val="clear" w:color="auto" w:fill="FFFFFF"/>
            <w:vAlign w:val="center"/>
          </w:tcPr>
          <w:p>
            <w:pPr>
              <w:spacing w:line="34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auto"/>
                <w:sz w:val="24"/>
                <w:highlight w:val="none"/>
              </w:rPr>
            </w:pPr>
          </w:p>
        </w:tc>
        <w:tc>
          <w:tcPr>
            <w:tcW w:w="2394" w:type="dxa"/>
            <w:gridSpan w:val="2"/>
            <w:shd w:val="clear" w:color="auto" w:fill="FFFFFF"/>
            <w:vAlign w:val="center"/>
          </w:tcPr>
          <w:p>
            <w:pPr>
              <w:spacing w:line="34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签证费</w:t>
            </w:r>
          </w:p>
        </w:tc>
        <w:tc>
          <w:tcPr>
            <w:tcW w:w="2013" w:type="dxa"/>
            <w:shd w:val="clear" w:color="auto" w:fill="FFFFFF"/>
            <w:vAlign w:val="center"/>
          </w:tcPr>
          <w:p>
            <w:pPr>
              <w:spacing w:line="340" w:lineRule="exact"/>
              <w:rPr>
                <w:rFonts w:ascii="仿宋_GB2312" w:hAnsi="仿宋_GB2312" w:eastAsia="仿宋_GB2312" w:cs="仿宋_GB2312"/>
                <w:color w:val="auto"/>
                <w:sz w:val="24"/>
                <w:highlight w:val="none"/>
              </w:rPr>
            </w:pPr>
          </w:p>
        </w:tc>
        <w:tc>
          <w:tcPr>
            <w:tcW w:w="4208"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交通费</w:t>
            </w:r>
          </w:p>
        </w:tc>
        <w:tc>
          <w:tcPr>
            <w:tcW w:w="1157" w:type="dxa"/>
            <w:shd w:val="clear" w:color="auto" w:fill="FFFFFF"/>
            <w:vAlign w:val="center"/>
          </w:tcPr>
          <w:p>
            <w:pPr>
              <w:spacing w:line="34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机票费</w:t>
            </w:r>
          </w:p>
        </w:tc>
        <w:tc>
          <w:tcPr>
            <w:tcW w:w="2013" w:type="dxa"/>
            <w:shd w:val="clear" w:color="auto" w:fill="FFFFFF"/>
            <w:vAlign w:val="center"/>
          </w:tcPr>
          <w:p>
            <w:pPr>
              <w:spacing w:line="340" w:lineRule="exact"/>
              <w:rPr>
                <w:rFonts w:ascii="仿宋_GB2312" w:hAnsi="仿宋_GB2312" w:eastAsia="仿宋_GB2312" w:cs="仿宋_GB2312"/>
                <w:color w:val="auto"/>
                <w:sz w:val="24"/>
                <w:highlight w:val="none"/>
              </w:rPr>
            </w:pPr>
          </w:p>
        </w:tc>
        <w:tc>
          <w:tcPr>
            <w:tcW w:w="4208"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按出行日期机票价格报价。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auto"/>
                <w:sz w:val="24"/>
                <w:highlight w:val="none"/>
              </w:rPr>
            </w:pPr>
          </w:p>
        </w:tc>
        <w:tc>
          <w:tcPr>
            <w:tcW w:w="1237" w:type="dxa"/>
            <w:vMerge w:val="restart"/>
            <w:shd w:val="clear" w:color="auto" w:fill="FFFFFF"/>
            <w:vAlign w:val="center"/>
          </w:tcPr>
          <w:p>
            <w:pPr>
              <w:spacing w:line="3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地接费用</w:t>
            </w:r>
          </w:p>
        </w:tc>
        <w:tc>
          <w:tcPr>
            <w:tcW w:w="1157" w:type="dxa"/>
            <w:shd w:val="clear" w:color="auto" w:fill="FFFFFF"/>
            <w:vAlign w:val="center"/>
          </w:tcPr>
          <w:p>
            <w:pPr>
              <w:spacing w:line="34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餐费</w:t>
            </w:r>
          </w:p>
        </w:tc>
        <w:tc>
          <w:tcPr>
            <w:tcW w:w="2013" w:type="dxa"/>
            <w:shd w:val="clear" w:color="auto" w:fill="FFFFFF"/>
            <w:vAlign w:val="center"/>
          </w:tcPr>
          <w:p>
            <w:pPr>
              <w:spacing w:line="340" w:lineRule="exact"/>
              <w:rPr>
                <w:rFonts w:ascii="仿宋_GB2312" w:hAnsi="仿宋_GB2312" w:eastAsia="仿宋_GB2312" w:cs="仿宋_GB2312"/>
                <w:color w:val="auto"/>
                <w:sz w:val="24"/>
                <w:highlight w:val="none"/>
              </w:rPr>
            </w:pPr>
          </w:p>
        </w:tc>
        <w:tc>
          <w:tcPr>
            <w:tcW w:w="4208" w:type="dxa"/>
            <w:shd w:val="clear" w:color="auto" w:fill="FFFFFF"/>
            <w:vAlign w:val="center"/>
          </w:tcPr>
          <w:p>
            <w:pPr>
              <w:spacing w:line="34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auto"/>
                <w:sz w:val="24"/>
                <w:highlight w:val="none"/>
              </w:rPr>
            </w:pPr>
          </w:p>
        </w:tc>
        <w:tc>
          <w:tcPr>
            <w:tcW w:w="1237" w:type="dxa"/>
            <w:vMerge w:val="continue"/>
            <w:shd w:val="clear" w:color="auto" w:fill="FFFFFF"/>
            <w:vAlign w:val="center"/>
          </w:tcPr>
          <w:p>
            <w:pPr>
              <w:spacing w:line="340" w:lineRule="exact"/>
              <w:jc w:val="center"/>
              <w:rPr>
                <w:rFonts w:ascii="仿宋_GB2312" w:hAnsi="仿宋_GB2312" w:eastAsia="仿宋_GB2312" w:cs="仿宋_GB2312"/>
                <w:b/>
                <w:bCs/>
                <w:color w:val="auto"/>
                <w:sz w:val="24"/>
                <w:highlight w:val="none"/>
              </w:rPr>
            </w:pPr>
          </w:p>
        </w:tc>
        <w:tc>
          <w:tcPr>
            <w:tcW w:w="1157" w:type="dxa"/>
            <w:shd w:val="clear" w:color="auto" w:fill="FFFFFF"/>
            <w:vAlign w:val="center"/>
          </w:tcPr>
          <w:p>
            <w:pPr>
              <w:spacing w:line="34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住宿费</w:t>
            </w:r>
          </w:p>
        </w:tc>
        <w:tc>
          <w:tcPr>
            <w:tcW w:w="2013" w:type="dxa"/>
            <w:shd w:val="clear" w:color="auto" w:fill="FFFFFF"/>
            <w:vAlign w:val="center"/>
          </w:tcPr>
          <w:p>
            <w:pPr>
              <w:spacing w:line="340" w:lineRule="exact"/>
              <w:rPr>
                <w:rFonts w:ascii="仿宋_GB2312" w:hAnsi="仿宋_GB2312" w:eastAsia="仿宋_GB2312" w:cs="仿宋_GB2312"/>
                <w:color w:val="auto"/>
                <w:sz w:val="24"/>
                <w:highlight w:val="none"/>
              </w:rPr>
            </w:pPr>
          </w:p>
        </w:tc>
        <w:tc>
          <w:tcPr>
            <w:tcW w:w="4208"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须列明不同国家酒店房间单价，实际住宿次数，并提供酒店费用原始票据。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auto"/>
                <w:sz w:val="24"/>
                <w:highlight w:val="none"/>
              </w:rPr>
            </w:pPr>
          </w:p>
        </w:tc>
        <w:tc>
          <w:tcPr>
            <w:tcW w:w="1237" w:type="dxa"/>
            <w:vMerge w:val="continue"/>
            <w:shd w:val="clear" w:color="auto" w:fill="FFFFFF"/>
            <w:vAlign w:val="center"/>
          </w:tcPr>
          <w:p>
            <w:pPr>
              <w:spacing w:line="340" w:lineRule="exact"/>
              <w:jc w:val="center"/>
              <w:rPr>
                <w:rFonts w:ascii="仿宋_GB2312" w:hAnsi="仿宋_GB2312" w:eastAsia="仿宋_GB2312" w:cs="仿宋_GB2312"/>
                <w:b/>
                <w:bCs/>
                <w:color w:val="auto"/>
                <w:sz w:val="24"/>
                <w:highlight w:val="none"/>
              </w:rPr>
            </w:pPr>
          </w:p>
        </w:tc>
        <w:tc>
          <w:tcPr>
            <w:tcW w:w="1157" w:type="dxa"/>
            <w:shd w:val="clear" w:color="auto" w:fill="FFFFFF"/>
            <w:vAlign w:val="center"/>
          </w:tcPr>
          <w:p>
            <w:pPr>
              <w:spacing w:line="340" w:lineRule="exact"/>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杂费</w:t>
            </w:r>
          </w:p>
        </w:tc>
        <w:tc>
          <w:tcPr>
            <w:tcW w:w="2013" w:type="dxa"/>
            <w:shd w:val="clear" w:color="auto" w:fill="FFFFFF"/>
            <w:vAlign w:val="center"/>
          </w:tcPr>
          <w:p>
            <w:pPr>
              <w:spacing w:line="340" w:lineRule="exact"/>
              <w:rPr>
                <w:rFonts w:ascii="仿宋_GB2312" w:hAnsi="仿宋_GB2312" w:eastAsia="仿宋_GB2312" w:cs="仿宋_GB2312"/>
                <w:color w:val="auto"/>
                <w:sz w:val="24"/>
                <w:highlight w:val="none"/>
              </w:rPr>
            </w:pPr>
          </w:p>
        </w:tc>
        <w:tc>
          <w:tcPr>
            <w:tcW w:w="4208"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此报价应包括车辆租赁、司机、导游服务费、小费等费用。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210" w:type="dxa"/>
            <w:vMerge w:val="continue"/>
            <w:shd w:val="clear" w:color="auto" w:fill="FFFFFF"/>
            <w:vAlign w:val="center"/>
          </w:tcPr>
          <w:p>
            <w:pPr>
              <w:spacing w:line="340" w:lineRule="exact"/>
              <w:rPr>
                <w:rFonts w:ascii="仿宋_GB2312" w:hAnsi="仿宋_GB2312" w:eastAsia="仿宋_GB2312" w:cs="仿宋_GB2312"/>
                <w:color w:val="auto"/>
                <w:sz w:val="24"/>
                <w:highlight w:val="none"/>
              </w:rPr>
            </w:pPr>
          </w:p>
        </w:tc>
        <w:tc>
          <w:tcPr>
            <w:tcW w:w="1237" w:type="dxa"/>
            <w:shd w:val="clear" w:color="auto" w:fill="FFFFFF"/>
            <w:vAlign w:val="center"/>
          </w:tcPr>
          <w:p>
            <w:pPr>
              <w:spacing w:line="3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单房差</w:t>
            </w:r>
          </w:p>
        </w:tc>
        <w:tc>
          <w:tcPr>
            <w:tcW w:w="3170" w:type="dxa"/>
            <w:gridSpan w:val="2"/>
            <w:shd w:val="clear" w:color="auto" w:fill="FFFFFF"/>
            <w:vAlign w:val="center"/>
          </w:tcPr>
          <w:p>
            <w:pPr>
              <w:spacing w:line="340" w:lineRule="exact"/>
              <w:rPr>
                <w:rFonts w:ascii="仿宋_GB2312" w:hAnsi="仿宋_GB2312" w:eastAsia="仿宋_GB2312" w:cs="仿宋_GB2312"/>
                <w:color w:val="auto"/>
                <w:sz w:val="24"/>
                <w:highlight w:val="none"/>
              </w:rPr>
            </w:pPr>
          </w:p>
        </w:tc>
        <w:tc>
          <w:tcPr>
            <w:tcW w:w="4208"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按国际连锁四星酒店全程分别报价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10"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黑体" w:hAnsi="黑体" w:eastAsia="黑体" w:cs="黑体"/>
                <w:color w:val="auto"/>
                <w:sz w:val="24"/>
                <w:highlight w:val="none"/>
              </w:rPr>
              <w:t>报价未含</w:t>
            </w:r>
          </w:p>
        </w:tc>
        <w:tc>
          <w:tcPr>
            <w:tcW w:w="8615" w:type="dxa"/>
            <w:gridSpan w:val="4"/>
            <w:shd w:val="clear" w:color="auto" w:fill="FFFFFF"/>
            <w:vAlign w:val="center"/>
          </w:tcPr>
          <w:p>
            <w:pPr>
              <w:spacing w:line="34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21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color w:val="auto"/>
                <w:sz w:val="24"/>
                <w:highlight w:val="none"/>
              </w:rPr>
            </w:pPr>
            <w:r>
              <w:rPr>
                <w:rFonts w:hint="eastAsia" w:ascii="黑体" w:hAnsi="黑体" w:eastAsia="黑体" w:cs="黑体"/>
                <w:color w:val="auto"/>
                <w:sz w:val="24"/>
                <w:highlight w:val="none"/>
              </w:rPr>
              <w:t>详细行程或建议行程</w:t>
            </w:r>
          </w:p>
        </w:tc>
        <w:tc>
          <w:tcPr>
            <w:tcW w:w="861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1、须附详细行程安排。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2、方案应包括全程航班（包括备选航班）信息、详细日程安排、住宿酒店（包括备选酒店）名称和标准、餐食种类。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4" w:hRule="atLeast"/>
          <w:jc w:val="center"/>
        </w:trPr>
        <w:tc>
          <w:tcPr>
            <w:tcW w:w="1210" w:type="dxa"/>
            <w:shd w:val="clear" w:color="auto" w:fill="FFFFFF"/>
            <w:vAlign w:val="center"/>
          </w:tcPr>
          <w:p>
            <w:pPr>
              <w:spacing w:line="340" w:lineRule="exact"/>
              <w:rPr>
                <w:rFonts w:ascii="宋体" w:hAnsi="宋体" w:cs="宋体"/>
                <w:color w:val="auto"/>
                <w:sz w:val="24"/>
                <w:highlight w:val="none"/>
              </w:rPr>
            </w:pPr>
            <w:r>
              <w:rPr>
                <w:rFonts w:hint="eastAsia" w:ascii="黑体" w:hAnsi="黑体" w:eastAsia="黑体" w:cs="黑体"/>
                <w:color w:val="auto"/>
                <w:sz w:val="24"/>
                <w:highlight w:val="none"/>
              </w:rPr>
              <w:t>其他要求</w:t>
            </w:r>
          </w:p>
        </w:tc>
        <w:tc>
          <w:tcPr>
            <w:tcW w:w="861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1、报价应以出发时间为准，应包括除个人消费外的所有费用；除特殊原因，中选后不得以机票、酒店房间为由提高价格或单价。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2、须包含转机餐（按照国内用餐时间习惯，如遇三餐时间为机场候机时间，不能将飞机餐默认为正餐，须于出团前补餐补）。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3、机票预订:  我方团员最终名单拟于出团前</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日提供，先期只能提供大名单。因成交方造成的成本上升由成交方自行承担。</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4、成交方因恶意竞标，无故调整航班，拖延整体进程等情况我会将重新采购。</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5、根据团员人数情况，机票须提前与航空公司协商上下浮动范围，浮动比例</w:t>
            </w:r>
            <w:r>
              <w:rPr>
                <w:rFonts w:hint="eastAsia" w:ascii="仿宋_GB2312" w:hAnsi="仿宋_GB2312" w:eastAsia="仿宋_GB2312" w:cs="仿宋_GB2312"/>
                <w:color w:val="auto"/>
                <w:sz w:val="24"/>
                <w:highlight w:val="none"/>
                <w:lang w:eastAsia="zh-CN"/>
              </w:rPr>
              <w:t>不高于</w:t>
            </w:r>
            <w:r>
              <w:rPr>
                <w:rFonts w:hint="eastAsia" w:ascii="仿宋_GB2312" w:hAnsi="仿宋_GB2312" w:eastAsia="仿宋_GB2312" w:cs="仿宋_GB2312"/>
                <w:color w:val="auto"/>
                <w:sz w:val="24"/>
                <w:highlight w:val="none"/>
              </w:rPr>
              <w:t>为</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6、全程不安排购物点。</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7、磋商后一周内，双方签订价格和服务内容承诺书和合作协议。</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8、对我方提出的建议或要求积极协商、处理。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210" w:type="dxa"/>
            <w:shd w:val="clear" w:color="auto" w:fill="FFFFFF"/>
            <w:vAlign w:val="center"/>
          </w:tcPr>
          <w:p>
            <w:pPr>
              <w:spacing w:line="340" w:lineRule="exact"/>
              <w:rPr>
                <w:rFonts w:ascii="仿宋_GB2312" w:hAnsi="仿宋_GB2312" w:eastAsia="仿宋_GB2312" w:cs="仿宋_GB2312"/>
                <w:color w:val="auto"/>
                <w:sz w:val="24"/>
                <w:highlight w:val="none"/>
              </w:rPr>
            </w:pPr>
            <w:r>
              <w:rPr>
                <w:rFonts w:hint="eastAsia" w:ascii="黑体" w:hAnsi="黑体" w:eastAsia="黑体" w:cs="黑体"/>
                <w:color w:val="auto"/>
                <w:sz w:val="24"/>
                <w:highlight w:val="none"/>
              </w:rPr>
              <w:t>付款方式</w:t>
            </w:r>
          </w:p>
        </w:tc>
        <w:tc>
          <w:tcPr>
            <w:tcW w:w="8615" w:type="dxa"/>
            <w:gridSpan w:val="4"/>
            <w:shd w:val="clear" w:color="auto" w:fill="FFFFFF"/>
            <w:vAlign w:val="center"/>
          </w:tcPr>
          <w:p>
            <w:pPr>
              <w:spacing w:line="3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highlight w:val="none"/>
                <w:lang w:val="en-US" w:eastAsia="zh-CN" w:bidi="ar-SA"/>
              </w:rPr>
              <w:t>预付款：出发前支付全款的70%。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10" w:type="dxa"/>
            <w:shd w:val="clear" w:color="auto" w:fill="FFFFFF"/>
            <w:vAlign w:val="center"/>
          </w:tcPr>
          <w:p>
            <w:pPr>
              <w:spacing w:line="340" w:lineRule="exact"/>
              <w:rPr>
                <w:rFonts w:ascii="黑体" w:hAnsi="黑体" w:eastAsia="黑体" w:cs="黑体"/>
                <w:color w:val="auto"/>
                <w:sz w:val="24"/>
                <w:highlight w:val="none"/>
              </w:rPr>
            </w:pPr>
            <w:r>
              <w:rPr>
                <w:rFonts w:hint="eastAsia" w:ascii="黑体" w:hAnsi="黑体" w:eastAsia="黑体" w:cs="黑体"/>
                <w:color w:val="auto"/>
                <w:sz w:val="24"/>
                <w:highlight w:val="none"/>
              </w:rPr>
              <w:t>备    注</w:t>
            </w:r>
          </w:p>
        </w:tc>
        <w:tc>
          <w:tcPr>
            <w:tcW w:w="8615" w:type="dxa"/>
            <w:gridSpan w:val="4"/>
            <w:shd w:val="clear" w:color="auto" w:fill="FFFFFF"/>
            <w:vAlign w:val="center"/>
          </w:tcPr>
          <w:p>
            <w:pPr>
              <w:spacing w:line="340" w:lineRule="exact"/>
              <w:rPr>
                <w:rFonts w:hint="eastAsia" w:ascii="仿宋_GB2312" w:hAnsi="仿宋_GB2312" w:eastAsia="仿宋_GB2312" w:cs="仿宋_GB2312"/>
                <w:color w:val="auto"/>
                <w:kern w:val="2"/>
                <w:sz w:val="24"/>
                <w:highlight w:val="none"/>
                <w:lang w:val="en-US" w:eastAsia="zh-CN" w:bidi="ar-SA"/>
              </w:rPr>
            </w:pPr>
            <w:r>
              <w:rPr>
                <w:rFonts w:hint="eastAsia" w:ascii="仿宋_GB2312" w:hAnsi="仿宋_GB2312" w:eastAsia="仿宋_GB2312" w:cs="仿宋_GB2312"/>
                <w:color w:val="auto"/>
                <w:kern w:val="2"/>
                <w:sz w:val="24"/>
                <w:highlight w:val="none"/>
                <w:lang w:val="en-US" w:eastAsia="zh-CN" w:bidi="ar-SA"/>
              </w:rPr>
              <w:t>导游要求：1、能讲流利普通话，英语好，形象佳，素质高，服务好。</w:t>
            </w:r>
          </w:p>
          <w:p>
            <w:pPr>
              <w:spacing w:line="340" w:lineRule="exact"/>
              <w:rPr>
                <w:rFonts w:hint="eastAsia" w:ascii="仿宋_GB2312" w:hAnsi="仿宋_GB2312" w:eastAsia="仿宋_GB2312" w:cs="仿宋_GB2312"/>
                <w:color w:val="auto"/>
                <w:kern w:val="2"/>
                <w:sz w:val="24"/>
                <w:highlight w:val="none"/>
                <w:lang w:val="en-US" w:eastAsia="zh-CN" w:bidi="ar-SA"/>
              </w:rPr>
            </w:pPr>
            <w:r>
              <w:rPr>
                <w:rFonts w:hint="eastAsia" w:ascii="仿宋_GB2312" w:hAnsi="仿宋_GB2312" w:eastAsia="仿宋_GB2312" w:cs="仿宋_GB2312"/>
                <w:color w:val="auto"/>
                <w:kern w:val="2"/>
                <w:sz w:val="24"/>
                <w:highlight w:val="none"/>
                <w:lang w:val="en-US" w:eastAsia="zh-CN" w:bidi="ar-SA"/>
              </w:rPr>
              <w:t xml:space="preserve">          2、能热情的讲解当地的历史文化和经济概况。</w:t>
            </w:r>
          </w:p>
          <w:p>
            <w:pPr>
              <w:spacing w:line="340" w:lineRule="exact"/>
              <w:ind w:firstLine="1200" w:firstLineChars="500"/>
              <w:rPr>
                <w:rFonts w:hint="eastAsia" w:ascii="仿宋_GB2312" w:hAnsi="仿宋_GB2312" w:eastAsia="仿宋_GB2312" w:cs="仿宋_GB2312"/>
                <w:color w:val="auto"/>
                <w:kern w:val="2"/>
                <w:sz w:val="24"/>
                <w:highlight w:val="none"/>
                <w:lang w:val="en-US" w:eastAsia="zh-CN" w:bidi="ar-SA"/>
              </w:rPr>
            </w:pPr>
            <w:r>
              <w:rPr>
                <w:rFonts w:hint="eastAsia" w:ascii="仿宋_GB2312" w:hAnsi="仿宋_GB2312" w:eastAsia="仿宋_GB2312" w:cs="仿宋_GB2312"/>
                <w:color w:val="auto"/>
                <w:kern w:val="2"/>
                <w:sz w:val="24"/>
                <w:highlight w:val="none"/>
                <w:lang w:val="en-US" w:eastAsia="zh-CN" w:bidi="ar-SA"/>
              </w:rPr>
              <w:t>3、具备2年以上接待政府经贸团组的经验。</w:t>
            </w:r>
          </w:p>
          <w:p>
            <w:pPr>
              <w:spacing w:line="3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highlight w:val="none"/>
                <w:lang w:val="en-US" w:eastAsia="zh-CN" w:bidi="ar-SA"/>
              </w:rPr>
              <w:t>拒签费用的承担：如发生非本人（参团人员）原因的拒签，拒签费用和来往的、机票、住宿和交通费用由旅社承担。</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b/>
          <w:bCs/>
          <w:color w:val="000000" w:themeColor="text1"/>
          <w:sz w:val="32"/>
          <w:szCs w:val="32"/>
          <w14:textFill>
            <w14:solidFill>
              <w14:schemeClr w14:val="tx1"/>
            </w14:solidFill>
          </w14:textFill>
        </w:rPr>
        <w:t>提醒：</w:t>
      </w:r>
      <w:r>
        <w:rPr>
          <w:rFonts w:hint="eastAsia" w:ascii="仿宋_GB2312" w:hAnsi="仿宋_GB2312" w:eastAsia="仿宋_GB2312" w:cs="仿宋_GB2312"/>
          <w:color w:val="000000" w:themeColor="text1"/>
          <w:sz w:val="28"/>
          <w:szCs w:val="28"/>
          <w14:textFill>
            <w14:solidFill>
              <w14:schemeClr w14:val="tx1"/>
            </w14:solidFill>
          </w14:textFill>
        </w:rPr>
        <w:t>请各拟参选单位仔细阅读以上内容，务必按要求和规定提供详细行程方案和报价表，不符合要求和规定的，取消此项目参选资格。</w:t>
      </w:r>
    </w:p>
    <w:p>
      <w:pPr>
        <w:spacing w:line="360" w:lineRule="auto"/>
        <w:jc w:val="center"/>
        <w:rPr>
          <w:rFonts w:eastAsia="Arial Unicode MS"/>
          <w:color w:val="auto"/>
          <w:highlight w:val="none"/>
        </w:rPr>
      </w:pP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2"/>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2"/>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2"/>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2"/>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2"/>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2"/>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2"/>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tWtSdAAAAADAQAADwAAAAAA&#10;AAABACAAAAA4AAAAZHJzL2Rvd25yZXYueG1sUEsBAhQAFAAAAAgAh07iQAm4NXzMAQAAlwMAAA4A&#10;AAAAAAAAAQAgAAAANQEAAGRycy9lMm9Eb2MueG1sUEsFBgAAAAAGAAYAWQEAAHMFAAAAAA==&#10;">
              <v:fill on="f" focussize="0,0"/>
              <v:stroke on="f"/>
              <v:imagedata o:title=""/>
              <o:lock v:ext="edit" aspectratio="f"/>
              <v:textbox inset="0mm,0mm,0mm,0mm" style="mso-fit-shape-to-text:t;">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2A39B"/>
    <w:multiLevelType w:val="singleLevel"/>
    <w:tmpl w:val="9852A3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2EB40D57"/>
    <w:rsid w:val="2F574235"/>
    <w:rsid w:val="373E1CB6"/>
    <w:rsid w:val="3FEE992E"/>
    <w:rsid w:val="46FE51A4"/>
    <w:rsid w:val="512C19FC"/>
    <w:rsid w:val="5DD71FA1"/>
    <w:rsid w:val="5DDB8C64"/>
    <w:rsid w:val="5F60D3B9"/>
    <w:rsid w:val="5FD9CDA2"/>
    <w:rsid w:val="64BB5415"/>
    <w:rsid w:val="6E5B8FCD"/>
    <w:rsid w:val="6F77F51F"/>
    <w:rsid w:val="6FC39948"/>
    <w:rsid w:val="6FF7CA89"/>
    <w:rsid w:val="7327559F"/>
    <w:rsid w:val="73B6BF19"/>
    <w:rsid w:val="77BD0C44"/>
    <w:rsid w:val="78341B71"/>
    <w:rsid w:val="796659D1"/>
    <w:rsid w:val="7BBD91E1"/>
    <w:rsid w:val="7BD52DA5"/>
    <w:rsid w:val="7BF75869"/>
    <w:rsid w:val="7CFDE407"/>
    <w:rsid w:val="7EE167C3"/>
    <w:rsid w:val="7EFE8B9B"/>
    <w:rsid w:val="7F33F7EE"/>
    <w:rsid w:val="7FA61C16"/>
    <w:rsid w:val="7FBB82D9"/>
    <w:rsid w:val="7FFBE354"/>
    <w:rsid w:val="8BFDF4F3"/>
    <w:rsid w:val="97F71C7E"/>
    <w:rsid w:val="9DBF74C8"/>
    <w:rsid w:val="9E2B949D"/>
    <w:rsid w:val="BBB7A537"/>
    <w:rsid w:val="BDF54B3D"/>
    <w:rsid w:val="CFEA366A"/>
    <w:rsid w:val="D6B33DB0"/>
    <w:rsid w:val="D7EE05AF"/>
    <w:rsid w:val="E3F7C8AD"/>
    <w:rsid w:val="E77C7A71"/>
    <w:rsid w:val="ECB63117"/>
    <w:rsid w:val="EFBE2158"/>
    <w:rsid w:val="F55F5EAF"/>
    <w:rsid w:val="F5F11402"/>
    <w:rsid w:val="F6F50964"/>
    <w:rsid w:val="F9FF3AAF"/>
    <w:rsid w:val="FB6D6B8D"/>
    <w:rsid w:val="FC754789"/>
    <w:rsid w:val="FCDB35C3"/>
    <w:rsid w:val="FD396BB8"/>
    <w:rsid w:val="FDDF4C23"/>
    <w:rsid w:val="FECCFAD0"/>
    <w:rsid w:val="FFFDED07"/>
    <w:rsid w:val="FFFDF6C6"/>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5"/>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200" w:firstLineChars="200"/>
    </w:pPr>
    <w:rPr>
      <w:szCs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 w:eastAsia="仿宋" w:cs="Times New Roman"/>
      <w:color w:val="000000"/>
      <w:sz w:val="28"/>
      <w:szCs w:val="28"/>
      <w:lang w:bidi="ar-SA"/>
    </w:rPr>
  </w:style>
  <w:style w:type="paragraph" w:customStyle="1" w:styleId="17">
    <w:name w:val="列出段落21"/>
    <w:basedOn w:val="1"/>
    <w:qFormat/>
    <w:uiPriority w:val="0"/>
    <w:pPr>
      <w:widowControl/>
      <w:ind w:firstLine="200" w:firstLineChars="200"/>
      <w:jc w:val="left"/>
    </w:pPr>
    <w:rPr>
      <w:rFonts w:ascii="Calibri" w:hAnsi="Calibri"/>
      <w:kern w:val="0"/>
      <w:sz w:val="24"/>
      <w:szCs w:val="24"/>
    </w:rPr>
  </w:style>
  <w:style w:type="paragraph" w:styleId="18">
    <w:name w:val="List Paragraph"/>
    <w:basedOn w:val="1"/>
    <w:qFormat/>
    <w:uiPriority w:val="0"/>
    <w:pPr>
      <w:ind w:firstLine="200" w:firstLineChars="200"/>
    </w:pPr>
  </w:style>
  <w:style w:type="paragraph" w:customStyle="1" w:styleId="19">
    <w:name w:val="页眉与页脚"/>
    <w:qFormat/>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20">
    <w:name w:val="reader-word-layer"/>
    <w:next w:val="1"/>
    <w:qFormat/>
    <w:uiPriority w:val="0"/>
    <w:pPr>
      <w:widowControl/>
      <w:spacing w:before="100" w:beforeAutospacing="1" w:after="100" w:afterAutospacing="1"/>
      <w:jc w:val="left"/>
    </w:pPr>
    <w:rPr>
      <w:rFonts w:ascii="宋体" w:hAnsi="永中宋体" w:eastAsia="宋体" w:cs="宋体"/>
      <w:kern w:val="0"/>
      <w:sz w:val="24"/>
      <w:szCs w:val="24"/>
      <w:lang w:val="en-US" w:eastAsia="zh-CN" w:bidi="ar-SA"/>
    </w:rPr>
  </w:style>
  <w:style w:type="paragraph" w:customStyle="1" w:styleId="21">
    <w:name w:val="p0"/>
    <w:qFormat/>
    <w:uiPriority w:val="0"/>
    <w:pPr>
      <w:widowControl/>
      <w:jc w:val="both"/>
    </w:pPr>
    <w:rPr>
      <w:rFonts w:ascii="Calibri" w:hAnsi="Calibri" w:eastAsia="宋体" w:cs="Times New Roman"/>
      <w:kern w:val="2"/>
      <w:sz w:val="21"/>
      <w:szCs w:val="21"/>
      <w:lang w:val="en-US" w:eastAsia="zh-CN" w:bidi="ar-SA"/>
    </w:rPr>
  </w:style>
  <w:style w:type="paragraph" w:customStyle="1" w:styleId="22">
    <w:name w:val="样式 小二"/>
    <w:next w:val="2"/>
    <w:qFormat/>
    <w:uiPriority w:val="0"/>
    <w:pPr>
      <w:outlineLvl w:val="0"/>
    </w:pPr>
    <w:rPr>
      <w:rFonts w:ascii="永中宋体" w:hAnsi="永中宋体" w:eastAsia="宋体" w:cs="永中宋体"/>
      <w:kern w:val="24"/>
      <w:sz w:val="36"/>
      <w:szCs w:val="36"/>
      <w:lang w:val="en-US" w:eastAsia="zh-CN" w:bidi="ar-SA"/>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21</Pages>
  <Words>5381</Words>
  <Characters>5661</Characters>
  <TotalTime>2</TotalTime>
  <ScaleCrop>false</ScaleCrop>
  <LinksUpToDate>false</LinksUpToDate>
  <CharactersWithSpaces>5861</CharactersWithSpaces>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胡</cp:lastModifiedBy>
  <dcterms:modified xsi:type="dcterms:W3CDTF">2023-10-17T16:42:04Z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2052-11.8.2.1121</vt:lpwstr>
  </property>
  <property fmtid="{D5CDD505-2E9C-101B-9397-08002B2CF9AE}" pid="4" name="ICV">
    <vt:lpwstr>F392138DCDAD4E3F9FF6D1082D5E65BC_13</vt:lpwstr>
  </property>
</Properties>
</file>